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875"/>
        <w:tblW w:w="9608" w:type="dxa"/>
        <w:tblLayout w:type="fixed"/>
        <w:tblLook w:val="04A0" w:firstRow="1" w:lastRow="0" w:firstColumn="1" w:lastColumn="0" w:noHBand="0" w:noVBand="1"/>
      </w:tblPr>
      <w:tblGrid>
        <w:gridCol w:w="1885"/>
        <w:gridCol w:w="7723"/>
      </w:tblGrid>
      <w:tr w:rsidR="00817F4A" w:rsidRPr="00001050" w14:paraId="5C65DAA4" w14:textId="77777777" w:rsidTr="0012694A">
        <w:tc>
          <w:tcPr>
            <w:tcW w:w="1885" w:type="dxa"/>
            <w:shd w:val="clear" w:color="auto" w:fill="D5DCE4" w:themeFill="text2" w:themeFillTint="33"/>
          </w:tcPr>
          <w:p w14:paraId="222901E7" w14:textId="77777777" w:rsidR="00817F4A" w:rsidRPr="00001050" w:rsidRDefault="00817F4A" w:rsidP="00817F4A">
            <w:pPr>
              <w:rPr>
                <w:rFonts w:ascii="Avenir Book" w:hAnsi="Avenir Book" w:cstheme="majorHAnsi"/>
                <w:b/>
                <w:sz w:val="22"/>
                <w:szCs w:val="22"/>
              </w:rPr>
            </w:pPr>
            <w:r w:rsidRPr="00001050">
              <w:rPr>
                <w:rFonts w:ascii="Avenir Book" w:hAnsi="Avenir Book" w:cstheme="majorHAnsi"/>
                <w:b/>
                <w:sz w:val="22"/>
                <w:szCs w:val="22"/>
              </w:rPr>
              <w:t>Title</w:t>
            </w:r>
          </w:p>
        </w:tc>
        <w:tc>
          <w:tcPr>
            <w:tcW w:w="7723" w:type="dxa"/>
          </w:tcPr>
          <w:p w14:paraId="6DAE98B4" w14:textId="31BC6919" w:rsidR="00B7546A" w:rsidRDefault="00B7546A" w:rsidP="00817F4A">
            <w:pPr>
              <w:rPr>
                <w:rFonts w:ascii="Avenir Book" w:hAnsi="Avenir Book" w:cstheme="majorHAnsi"/>
                <w:sz w:val="22"/>
                <w:szCs w:val="22"/>
              </w:rPr>
            </w:pPr>
            <w:r>
              <w:rPr>
                <w:rFonts w:ascii="Avenir Book" w:hAnsi="Avenir Book" w:cstheme="majorHAnsi"/>
                <w:sz w:val="22"/>
                <w:szCs w:val="22"/>
              </w:rPr>
              <w:t>Terms of Reference (TOR)</w:t>
            </w:r>
          </w:p>
          <w:p w14:paraId="1A3ACA0B" w14:textId="2FB27E93" w:rsidR="00817F4A" w:rsidRPr="00001050" w:rsidRDefault="002212DE" w:rsidP="00817F4A">
            <w:pPr>
              <w:rPr>
                <w:rFonts w:ascii="Avenir Book" w:hAnsi="Avenir Book" w:cstheme="majorHAnsi"/>
                <w:sz w:val="22"/>
                <w:szCs w:val="22"/>
              </w:rPr>
            </w:pPr>
            <w:r>
              <w:rPr>
                <w:rFonts w:ascii="Avenir Book" w:hAnsi="Avenir Book" w:cstheme="majorHAnsi"/>
                <w:sz w:val="22"/>
                <w:szCs w:val="22"/>
              </w:rPr>
              <w:t>S</w:t>
            </w:r>
            <w:r w:rsidR="006F13C9">
              <w:rPr>
                <w:rFonts w:ascii="Avenir Book" w:hAnsi="Avenir Book" w:cstheme="majorHAnsi"/>
                <w:sz w:val="22"/>
                <w:szCs w:val="22"/>
              </w:rPr>
              <w:t xml:space="preserve">ecurity </w:t>
            </w:r>
            <w:r>
              <w:rPr>
                <w:rFonts w:ascii="Avenir Book" w:hAnsi="Avenir Book" w:cstheme="majorHAnsi"/>
                <w:sz w:val="22"/>
                <w:szCs w:val="22"/>
              </w:rPr>
              <w:t>R</w:t>
            </w:r>
            <w:r w:rsidR="006F13C9">
              <w:rPr>
                <w:rFonts w:ascii="Avenir Book" w:hAnsi="Avenir Book" w:cstheme="majorHAnsi"/>
                <w:sz w:val="22"/>
                <w:szCs w:val="22"/>
              </w:rPr>
              <w:t xml:space="preserve">isk </w:t>
            </w:r>
            <w:r>
              <w:rPr>
                <w:rFonts w:ascii="Avenir Book" w:hAnsi="Avenir Book" w:cstheme="majorHAnsi"/>
                <w:sz w:val="22"/>
                <w:szCs w:val="22"/>
              </w:rPr>
              <w:t>M</w:t>
            </w:r>
            <w:r w:rsidR="006F13C9">
              <w:rPr>
                <w:rFonts w:ascii="Avenir Book" w:hAnsi="Avenir Book" w:cstheme="majorHAnsi"/>
                <w:sz w:val="22"/>
                <w:szCs w:val="22"/>
              </w:rPr>
              <w:t>anagement (SRM)</w:t>
            </w:r>
            <w:r>
              <w:rPr>
                <w:rFonts w:ascii="Avenir Book" w:hAnsi="Avenir Book" w:cstheme="majorHAnsi"/>
                <w:sz w:val="22"/>
                <w:szCs w:val="22"/>
              </w:rPr>
              <w:t xml:space="preserve"> </w:t>
            </w:r>
            <w:r w:rsidR="004303FA" w:rsidRPr="00001050">
              <w:rPr>
                <w:rFonts w:ascii="Avenir Book" w:hAnsi="Avenir Book" w:cstheme="majorHAnsi"/>
                <w:sz w:val="22"/>
                <w:szCs w:val="22"/>
              </w:rPr>
              <w:t xml:space="preserve">Policy </w:t>
            </w:r>
            <w:r w:rsidR="00747465">
              <w:rPr>
                <w:rFonts w:ascii="Avenir Book" w:hAnsi="Avenir Book" w:cstheme="majorHAnsi"/>
                <w:sz w:val="22"/>
                <w:szCs w:val="22"/>
              </w:rPr>
              <w:t xml:space="preserve">Resource and </w:t>
            </w:r>
            <w:r w:rsidR="004303FA" w:rsidRPr="00001050">
              <w:rPr>
                <w:rFonts w:ascii="Avenir Book" w:hAnsi="Avenir Book" w:cstheme="majorHAnsi"/>
                <w:sz w:val="22"/>
                <w:szCs w:val="22"/>
              </w:rPr>
              <w:t>Tool</w:t>
            </w:r>
            <w:r>
              <w:rPr>
                <w:rFonts w:ascii="Avenir Book" w:hAnsi="Avenir Book" w:cstheme="majorHAnsi"/>
                <w:sz w:val="22"/>
                <w:szCs w:val="22"/>
              </w:rPr>
              <w:t>kit</w:t>
            </w:r>
          </w:p>
        </w:tc>
      </w:tr>
      <w:tr w:rsidR="00817F4A" w:rsidRPr="00001050" w14:paraId="4B3A2F6B" w14:textId="77777777" w:rsidTr="0012694A">
        <w:tc>
          <w:tcPr>
            <w:tcW w:w="1885" w:type="dxa"/>
            <w:shd w:val="clear" w:color="auto" w:fill="D5DCE4" w:themeFill="text2" w:themeFillTint="33"/>
          </w:tcPr>
          <w:p w14:paraId="2DA9E751" w14:textId="77777777" w:rsidR="00817F4A" w:rsidRPr="00001050" w:rsidRDefault="00817F4A" w:rsidP="00817F4A">
            <w:pPr>
              <w:rPr>
                <w:rFonts w:ascii="Avenir Book" w:hAnsi="Avenir Book" w:cstheme="majorHAnsi"/>
                <w:b/>
                <w:sz w:val="22"/>
                <w:szCs w:val="22"/>
              </w:rPr>
            </w:pPr>
            <w:r w:rsidRPr="00001050">
              <w:rPr>
                <w:rFonts w:ascii="Avenir Book" w:hAnsi="Avenir Book" w:cstheme="majorHAnsi"/>
                <w:b/>
                <w:sz w:val="22"/>
                <w:szCs w:val="22"/>
              </w:rPr>
              <w:t>Date</w:t>
            </w:r>
          </w:p>
        </w:tc>
        <w:tc>
          <w:tcPr>
            <w:tcW w:w="7723" w:type="dxa"/>
          </w:tcPr>
          <w:p w14:paraId="6A1BE557" w14:textId="3DB076EC" w:rsidR="00817F4A" w:rsidRPr="00001050" w:rsidRDefault="000A558E" w:rsidP="00817F4A">
            <w:pPr>
              <w:ind w:right="69"/>
              <w:jc w:val="both"/>
              <w:rPr>
                <w:rFonts w:ascii="Avenir Book" w:hAnsi="Avenir Book" w:cstheme="majorHAnsi"/>
                <w:bCs/>
                <w:sz w:val="22"/>
                <w:szCs w:val="22"/>
              </w:rPr>
            </w:pPr>
            <w:r>
              <w:rPr>
                <w:rFonts w:ascii="Avenir Book" w:hAnsi="Avenir Book" w:cstheme="majorHAnsi"/>
                <w:bCs/>
                <w:sz w:val="22"/>
                <w:szCs w:val="22"/>
              </w:rPr>
              <w:t>February 6</w:t>
            </w:r>
            <w:r w:rsidR="006F13C9" w:rsidRPr="006F13C9">
              <w:rPr>
                <w:rFonts w:ascii="Avenir Book" w:hAnsi="Avenir Book" w:cstheme="majorHAnsi"/>
                <w:bCs/>
                <w:sz w:val="22"/>
                <w:szCs w:val="22"/>
                <w:vertAlign w:val="superscript"/>
              </w:rPr>
              <w:t>th</w:t>
            </w:r>
            <w:r w:rsidR="006F13C9">
              <w:rPr>
                <w:rFonts w:ascii="Avenir Book" w:hAnsi="Avenir Book" w:cstheme="majorHAnsi"/>
                <w:bCs/>
                <w:sz w:val="22"/>
                <w:szCs w:val="22"/>
              </w:rPr>
              <w:t xml:space="preserve">, </w:t>
            </w:r>
            <w:r w:rsidR="00817F4A" w:rsidRPr="00001050">
              <w:rPr>
                <w:rFonts w:ascii="Avenir Book" w:hAnsi="Avenir Book" w:cstheme="majorHAnsi"/>
                <w:bCs/>
                <w:sz w:val="22"/>
                <w:szCs w:val="22"/>
              </w:rPr>
              <w:t>202</w:t>
            </w:r>
            <w:r w:rsidR="006F13C9">
              <w:rPr>
                <w:rFonts w:ascii="Avenir Book" w:hAnsi="Avenir Book" w:cstheme="majorHAnsi"/>
                <w:bCs/>
                <w:sz w:val="22"/>
                <w:szCs w:val="22"/>
              </w:rPr>
              <w:t>3</w:t>
            </w:r>
          </w:p>
        </w:tc>
      </w:tr>
      <w:tr w:rsidR="00817F4A" w:rsidRPr="00001050" w14:paraId="3267BA9C" w14:textId="77777777" w:rsidTr="0012694A">
        <w:tc>
          <w:tcPr>
            <w:tcW w:w="1885" w:type="dxa"/>
            <w:shd w:val="clear" w:color="auto" w:fill="D5DCE4" w:themeFill="text2" w:themeFillTint="33"/>
          </w:tcPr>
          <w:p w14:paraId="1239FC88" w14:textId="77777777" w:rsidR="00817F4A" w:rsidRPr="00001050" w:rsidRDefault="00817F4A" w:rsidP="00817F4A">
            <w:pPr>
              <w:rPr>
                <w:rFonts w:ascii="Avenir Book" w:hAnsi="Avenir Book" w:cstheme="majorHAnsi"/>
                <w:b/>
                <w:sz w:val="22"/>
                <w:szCs w:val="22"/>
              </w:rPr>
            </w:pPr>
            <w:r w:rsidRPr="00001050">
              <w:rPr>
                <w:rFonts w:ascii="Avenir Book" w:hAnsi="Avenir Book" w:cstheme="majorHAnsi"/>
                <w:b/>
                <w:sz w:val="22"/>
                <w:szCs w:val="22"/>
              </w:rPr>
              <w:t>Background</w:t>
            </w:r>
          </w:p>
        </w:tc>
        <w:tc>
          <w:tcPr>
            <w:tcW w:w="7723" w:type="dxa"/>
          </w:tcPr>
          <w:p w14:paraId="038F7AD4" w14:textId="69878205" w:rsidR="00817F4A" w:rsidRPr="00001050" w:rsidRDefault="009741D1" w:rsidP="009741D1">
            <w:pPr>
              <w:ind w:right="69"/>
              <w:jc w:val="both"/>
              <w:rPr>
                <w:rFonts w:ascii="Avenir Book" w:hAnsi="Avenir Book" w:cstheme="majorHAnsi"/>
                <w:sz w:val="22"/>
                <w:szCs w:val="22"/>
              </w:rPr>
            </w:pPr>
            <w:r>
              <w:rPr>
                <w:rFonts w:ascii="Avenir Book" w:hAnsi="Avenir Book" w:cstheme="majorHAnsi"/>
                <w:bCs/>
                <w:sz w:val="22"/>
                <w:szCs w:val="22"/>
              </w:rPr>
              <w:t>The Global Interagency Security (</w:t>
            </w:r>
            <w:r w:rsidR="00817F4A" w:rsidRPr="00001050">
              <w:rPr>
                <w:rFonts w:ascii="Avenir Book" w:hAnsi="Avenir Book" w:cstheme="majorHAnsi"/>
                <w:bCs/>
                <w:sz w:val="22"/>
                <w:szCs w:val="22"/>
              </w:rPr>
              <w:t>GISF</w:t>
            </w:r>
            <w:r>
              <w:rPr>
                <w:rFonts w:ascii="Avenir Book" w:hAnsi="Avenir Book" w:cstheme="majorHAnsi"/>
                <w:bCs/>
                <w:sz w:val="22"/>
                <w:szCs w:val="22"/>
              </w:rPr>
              <w:t>)</w:t>
            </w:r>
            <w:r w:rsidR="00817F4A" w:rsidRPr="00001050">
              <w:rPr>
                <w:rFonts w:ascii="Avenir Book" w:hAnsi="Avenir Book" w:cstheme="majorHAnsi"/>
                <w:bCs/>
                <w:sz w:val="22"/>
                <w:szCs w:val="22"/>
              </w:rPr>
              <w:t xml:space="preserve"> is an independent network of security focal points </w:t>
            </w:r>
            <w:r w:rsidR="00396A14">
              <w:rPr>
                <w:rFonts w:ascii="Avenir Book" w:hAnsi="Avenir Book" w:cstheme="majorHAnsi"/>
                <w:bCs/>
                <w:sz w:val="22"/>
                <w:szCs w:val="22"/>
              </w:rPr>
              <w:t>representing</w:t>
            </w:r>
            <w:r w:rsidR="00817F4A" w:rsidRPr="00001050">
              <w:rPr>
                <w:rFonts w:ascii="Avenir Book" w:hAnsi="Avenir Book" w:cstheme="majorHAnsi"/>
                <w:bCs/>
                <w:sz w:val="22"/>
                <w:szCs w:val="22"/>
              </w:rPr>
              <w:t xml:space="preserve"> humanitarian, development</w:t>
            </w:r>
            <w:r w:rsidR="00396A14">
              <w:rPr>
                <w:rFonts w:ascii="Avenir Book" w:hAnsi="Avenir Book" w:cstheme="majorHAnsi"/>
                <w:bCs/>
                <w:sz w:val="22"/>
                <w:szCs w:val="22"/>
              </w:rPr>
              <w:t>,</w:t>
            </w:r>
            <w:r w:rsidR="00817F4A" w:rsidRPr="00001050">
              <w:rPr>
                <w:rFonts w:ascii="Avenir Book" w:hAnsi="Avenir Book" w:cstheme="majorHAnsi"/>
                <w:bCs/>
                <w:sz w:val="22"/>
                <w:szCs w:val="22"/>
              </w:rPr>
              <w:t xml:space="preserve"> and human rights NGOs operating internationally (from now on, referred to as NGOs or humanitarian organisations). GISF is committed to improving the safety and security of operations and staff, strengthening humanitarian security risk management, to allow greater access for crisis-affected populations.</w:t>
            </w:r>
            <w:r>
              <w:rPr>
                <w:rFonts w:ascii="Avenir Book" w:hAnsi="Avenir Book" w:cstheme="majorHAnsi"/>
                <w:bCs/>
                <w:sz w:val="22"/>
                <w:szCs w:val="22"/>
              </w:rPr>
              <w:t xml:space="preserve"> </w:t>
            </w:r>
            <w:r w:rsidRPr="009741D1">
              <w:rPr>
                <w:rFonts w:ascii="Avenir Book" w:hAnsi="Avenir Book" w:cstheme="majorHAnsi"/>
                <w:bCs/>
                <w:sz w:val="22"/>
                <w:szCs w:val="22"/>
              </w:rPr>
              <w:t xml:space="preserve">The North American Office of the </w:t>
            </w:r>
            <w:r>
              <w:rPr>
                <w:rFonts w:ascii="Avenir Book" w:hAnsi="Avenir Book" w:cstheme="majorHAnsi"/>
                <w:bCs/>
                <w:sz w:val="22"/>
                <w:szCs w:val="22"/>
              </w:rPr>
              <w:t xml:space="preserve">GISF, a program funded by </w:t>
            </w:r>
            <w:r w:rsidRPr="009741D1">
              <w:rPr>
                <w:rFonts w:ascii="Avenir Book" w:hAnsi="Avenir Book" w:cstheme="majorHAnsi"/>
                <w:bCs/>
                <w:sz w:val="22"/>
                <w:szCs w:val="22"/>
              </w:rPr>
              <w:t xml:space="preserve">U.S. Agency for International Development </w:t>
            </w:r>
            <w:r>
              <w:rPr>
                <w:rFonts w:ascii="Avenir Book" w:hAnsi="Avenir Book" w:cstheme="majorHAnsi"/>
                <w:bCs/>
                <w:sz w:val="22"/>
                <w:szCs w:val="22"/>
              </w:rPr>
              <w:t>(</w:t>
            </w:r>
            <w:r w:rsidRPr="009741D1">
              <w:rPr>
                <w:rFonts w:ascii="Avenir Book" w:hAnsi="Avenir Book" w:cstheme="majorHAnsi"/>
                <w:bCs/>
                <w:sz w:val="22"/>
                <w:szCs w:val="22"/>
              </w:rPr>
              <w:t>USAID</w:t>
            </w:r>
            <w:r>
              <w:rPr>
                <w:rFonts w:ascii="Avenir Book" w:hAnsi="Avenir Book" w:cstheme="majorHAnsi"/>
                <w:bCs/>
                <w:sz w:val="22"/>
                <w:szCs w:val="22"/>
              </w:rPr>
              <w:t xml:space="preserve">), implemented by </w:t>
            </w:r>
            <w:r w:rsidRPr="009741D1">
              <w:rPr>
                <w:rFonts w:ascii="Avenir Book" w:hAnsi="Avenir Book" w:cstheme="majorHAnsi"/>
                <w:bCs/>
                <w:sz w:val="22"/>
                <w:szCs w:val="22"/>
              </w:rPr>
              <w:t>Childfund International USA</w:t>
            </w:r>
            <w:r>
              <w:rPr>
                <w:rFonts w:ascii="Avenir Book" w:hAnsi="Avenir Book" w:cstheme="majorHAnsi"/>
                <w:bCs/>
                <w:sz w:val="22"/>
                <w:szCs w:val="22"/>
              </w:rPr>
              <w:t xml:space="preserve">, requests for proposals for the scope of work described below. </w:t>
            </w:r>
          </w:p>
        </w:tc>
      </w:tr>
      <w:tr w:rsidR="00817F4A" w:rsidRPr="00001050" w14:paraId="6B16F756" w14:textId="77777777" w:rsidTr="0012694A">
        <w:tc>
          <w:tcPr>
            <w:tcW w:w="1885" w:type="dxa"/>
            <w:shd w:val="clear" w:color="auto" w:fill="D5DCE4" w:themeFill="text2" w:themeFillTint="33"/>
          </w:tcPr>
          <w:p w14:paraId="506EB0DD" w14:textId="77777777" w:rsidR="00817F4A" w:rsidRPr="00001050" w:rsidRDefault="00817F4A" w:rsidP="00817F4A">
            <w:pPr>
              <w:rPr>
                <w:rFonts w:ascii="Avenir Book" w:hAnsi="Avenir Book" w:cstheme="majorHAnsi"/>
                <w:b/>
                <w:sz w:val="22"/>
                <w:szCs w:val="22"/>
              </w:rPr>
            </w:pPr>
            <w:r w:rsidRPr="00001050">
              <w:rPr>
                <w:rFonts w:ascii="Avenir Book" w:hAnsi="Avenir Book" w:cstheme="majorHAnsi"/>
                <w:b/>
                <w:sz w:val="22"/>
                <w:szCs w:val="22"/>
              </w:rPr>
              <w:t>Overall goal/ objective</w:t>
            </w:r>
          </w:p>
        </w:tc>
        <w:tc>
          <w:tcPr>
            <w:tcW w:w="7723" w:type="dxa"/>
          </w:tcPr>
          <w:p w14:paraId="7B0E3512" w14:textId="130AC8DD" w:rsidR="00817F4A" w:rsidRPr="006F13C9" w:rsidRDefault="00396A14" w:rsidP="008E3E30">
            <w:pPr>
              <w:jc w:val="both"/>
              <w:rPr>
                <w:rFonts w:ascii="Avenir Book" w:hAnsi="Avenir Book" w:cs="Calibri"/>
                <w:sz w:val="22"/>
                <w:szCs w:val="22"/>
              </w:rPr>
            </w:pPr>
            <w:r>
              <w:rPr>
                <w:rFonts w:ascii="Avenir Book" w:hAnsi="Avenir Book" w:cs="Calibri"/>
                <w:sz w:val="22"/>
                <w:szCs w:val="22"/>
              </w:rPr>
              <w:t>Creating</w:t>
            </w:r>
            <w:r w:rsidR="00DA3B1B" w:rsidRPr="00001050">
              <w:rPr>
                <w:rFonts w:ascii="Avenir Book" w:hAnsi="Avenir Book" w:cs="Calibri"/>
                <w:sz w:val="22"/>
                <w:szCs w:val="22"/>
              </w:rPr>
              <w:t xml:space="preserve"> a</w:t>
            </w:r>
            <w:r w:rsidR="002212DE">
              <w:rPr>
                <w:rFonts w:ascii="Avenir Book" w:hAnsi="Avenir Book" w:cs="Calibri"/>
                <w:sz w:val="22"/>
                <w:szCs w:val="22"/>
              </w:rPr>
              <w:t xml:space="preserve"> digital </w:t>
            </w:r>
            <w:r w:rsidR="0090342D">
              <w:rPr>
                <w:rFonts w:ascii="Avenir Book" w:hAnsi="Avenir Book" w:cs="Calibri"/>
                <w:sz w:val="22"/>
                <w:szCs w:val="22"/>
              </w:rPr>
              <w:t xml:space="preserve">interdisciplinary </w:t>
            </w:r>
            <w:r w:rsidR="002212DE">
              <w:rPr>
                <w:rFonts w:ascii="Avenir Book" w:hAnsi="Avenir Book" w:cs="Calibri"/>
                <w:sz w:val="22"/>
                <w:szCs w:val="22"/>
              </w:rPr>
              <w:t xml:space="preserve">SRM Policy </w:t>
            </w:r>
            <w:r w:rsidR="00747465">
              <w:rPr>
                <w:rFonts w:ascii="Avenir Book" w:hAnsi="Avenir Book" w:cs="Calibri"/>
                <w:sz w:val="22"/>
                <w:szCs w:val="22"/>
              </w:rPr>
              <w:t xml:space="preserve">Resource and </w:t>
            </w:r>
            <w:r w:rsidR="002212DE">
              <w:rPr>
                <w:rFonts w:ascii="Avenir Book" w:hAnsi="Avenir Book" w:cs="Calibri"/>
                <w:sz w:val="22"/>
                <w:szCs w:val="22"/>
              </w:rPr>
              <w:t>Toolkit</w:t>
            </w:r>
            <w:r w:rsidR="00DA3B1B" w:rsidRPr="00001050">
              <w:rPr>
                <w:rFonts w:ascii="Avenir Book" w:hAnsi="Avenir Book" w:cs="Calibri"/>
                <w:sz w:val="22"/>
                <w:szCs w:val="22"/>
              </w:rPr>
              <w:t xml:space="preserve"> will </w:t>
            </w:r>
            <w:r w:rsidR="002212DE">
              <w:rPr>
                <w:rFonts w:ascii="Avenir Book" w:hAnsi="Avenir Book" w:cs="Calibri"/>
                <w:sz w:val="22"/>
                <w:szCs w:val="22"/>
              </w:rPr>
              <w:t xml:space="preserve">inform Organizational SRM Strategies </w:t>
            </w:r>
            <w:r w:rsidR="000E1784">
              <w:rPr>
                <w:rFonts w:ascii="Avenir Book" w:hAnsi="Avenir Book" w:cs="Calibri"/>
                <w:sz w:val="22"/>
                <w:szCs w:val="22"/>
              </w:rPr>
              <w:t xml:space="preserve">linking </w:t>
            </w:r>
            <w:r w:rsidR="002212DE">
              <w:rPr>
                <w:rFonts w:ascii="Avenir Book" w:hAnsi="Avenir Book" w:cs="Calibri"/>
                <w:sz w:val="22"/>
                <w:szCs w:val="22"/>
              </w:rPr>
              <w:t xml:space="preserve">to </w:t>
            </w:r>
            <w:r w:rsidR="000E1784">
              <w:rPr>
                <w:rFonts w:ascii="Avenir Book" w:hAnsi="Avenir Book" w:cs="Calibri"/>
                <w:sz w:val="22"/>
                <w:szCs w:val="22"/>
              </w:rPr>
              <w:t>some of the</w:t>
            </w:r>
            <w:r w:rsidR="002212DE">
              <w:rPr>
                <w:rFonts w:ascii="Avenir Book" w:hAnsi="Avenir Book" w:cs="Calibri"/>
                <w:sz w:val="22"/>
                <w:szCs w:val="22"/>
              </w:rPr>
              <w:t xml:space="preserve"> most current standalone and transversal </w:t>
            </w:r>
            <w:r w:rsidR="0090342D">
              <w:rPr>
                <w:rFonts w:ascii="Avenir Book" w:hAnsi="Avenir Book" w:cs="Calibri"/>
                <w:sz w:val="22"/>
                <w:szCs w:val="22"/>
              </w:rPr>
              <w:t xml:space="preserve">policy </w:t>
            </w:r>
            <w:r w:rsidR="002212DE">
              <w:rPr>
                <w:rFonts w:ascii="Avenir Book" w:hAnsi="Avenir Book" w:cs="Calibri"/>
                <w:sz w:val="22"/>
                <w:szCs w:val="22"/>
              </w:rPr>
              <w:t xml:space="preserve">thematic areas </w:t>
            </w:r>
            <w:r w:rsidR="000E1784">
              <w:rPr>
                <w:rFonts w:ascii="Avenir Book" w:hAnsi="Avenir Book" w:cs="Calibri"/>
                <w:sz w:val="22"/>
                <w:szCs w:val="22"/>
              </w:rPr>
              <w:t>in the humanitarian and development arena,</w:t>
            </w:r>
            <w:r w:rsidR="0090342D">
              <w:rPr>
                <w:rFonts w:ascii="Avenir Book" w:hAnsi="Avenir Book" w:cs="Calibri"/>
                <w:sz w:val="22"/>
                <w:szCs w:val="22"/>
              </w:rPr>
              <w:t xml:space="preserve"> ranging</w:t>
            </w:r>
            <w:r w:rsidR="002212DE">
              <w:rPr>
                <w:rFonts w:ascii="Avenir Book" w:hAnsi="Avenir Book" w:cs="Calibri"/>
                <w:sz w:val="22"/>
                <w:szCs w:val="22"/>
              </w:rPr>
              <w:t xml:space="preserve"> from governance</w:t>
            </w:r>
            <w:r w:rsidR="000E1784">
              <w:rPr>
                <w:rFonts w:ascii="Avenir Book" w:hAnsi="Avenir Book" w:cs="Calibri"/>
                <w:sz w:val="22"/>
                <w:szCs w:val="22"/>
              </w:rPr>
              <w:t xml:space="preserve"> and</w:t>
            </w:r>
            <w:r w:rsidR="002212DE">
              <w:rPr>
                <w:rFonts w:ascii="Avenir Book" w:hAnsi="Avenir Book" w:cs="Calibri"/>
                <w:sz w:val="22"/>
                <w:szCs w:val="22"/>
              </w:rPr>
              <w:t xml:space="preserve"> organizational resilience </w:t>
            </w:r>
            <w:r w:rsidR="000E1784">
              <w:rPr>
                <w:rFonts w:ascii="Avenir Book" w:hAnsi="Avenir Book" w:cs="Calibri"/>
                <w:sz w:val="22"/>
                <w:szCs w:val="22"/>
              </w:rPr>
              <w:t>to staff care</w:t>
            </w:r>
            <w:r w:rsidR="0090342D">
              <w:rPr>
                <w:rFonts w:ascii="Avenir Book" w:hAnsi="Avenir Book" w:cs="Calibri"/>
                <w:sz w:val="22"/>
                <w:szCs w:val="22"/>
              </w:rPr>
              <w:t xml:space="preserve"> </w:t>
            </w:r>
            <w:r w:rsidR="000E1784">
              <w:rPr>
                <w:rFonts w:ascii="Avenir Book" w:hAnsi="Avenir Book" w:cs="Calibri"/>
                <w:sz w:val="22"/>
                <w:szCs w:val="22"/>
              </w:rPr>
              <w:t>and localization.</w:t>
            </w:r>
          </w:p>
        </w:tc>
      </w:tr>
      <w:tr w:rsidR="00817F4A" w:rsidRPr="00001050" w14:paraId="40D2F592" w14:textId="77777777" w:rsidTr="0012694A">
        <w:tc>
          <w:tcPr>
            <w:tcW w:w="1885" w:type="dxa"/>
            <w:shd w:val="clear" w:color="auto" w:fill="D5DCE4" w:themeFill="text2" w:themeFillTint="33"/>
          </w:tcPr>
          <w:p w14:paraId="6B1B8B8F" w14:textId="19CC26F6" w:rsidR="00817F4A" w:rsidRPr="00001050" w:rsidRDefault="0012694A" w:rsidP="00817F4A">
            <w:pPr>
              <w:rPr>
                <w:rFonts w:ascii="Avenir Book" w:hAnsi="Avenir Book" w:cstheme="majorHAnsi"/>
                <w:b/>
                <w:bCs/>
                <w:iCs/>
                <w:sz w:val="22"/>
                <w:szCs w:val="22"/>
              </w:rPr>
            </w:pPr>
            <w:r>
              <w:rPr>
                <w:rFonts w:ascii="Avenir Book" w:hAnsi="Avenir Book" w:cstheme="majorHAnsi"/>
                <w:b/>
                <w:bCs/>
                <w:iCs/>
                <w:sz w:val="22"/>
                <w:szCs w:val="22"/>
              </w:rPr>
              <w:t xml:space="preserve">Summary of </w:t>
            </w:r>
            <w:r w:rsidR="00817F4A" w:rsidRPr="00001050">
              <w:rPr>
                <w:rFonts w:ascii="Avenir Book" w:hAnsi="Avenir Book" w:cstheme="majorHAnsi"/>
                <w:b/>
                <w:bCs/>
                <w:iCs/>
                <w:sz w:val="22"/>
                <w:szCs w:val="22"/>
              </w:rPr>
              <w:t>Project Description</w:t>
            </w:r>
          </w:p>
          <w:p w14:paraId="1AC5EDC1" w14:textId="77777777" w:rsidR="00817F4A" w:rsidRPr="00001050" w:rsidRDefault="00817F4A" w:rsidP="00817F4A">
            <w:pPr>
              <w:rPr>
                <w:rFonts w:ascii="Avenir Book" w:hAnsi="Avenir Book" w:cstheme="majorHAnsi"/>
                <w:b/>
                <w:sz w:val="22"/>
                <w:szCs w:val="22"/>
              </w:rPr>
            </w:pPr>
          </w:p>
        </w:tc>
        <w:tc>
          <w:tcPr>
            <w:tcW w:w="7723" w:type="dxa"/>
          </w:tcPr>
          <w:p w14:paraId="23970759" w14:textId="573B9D8A" w:rsidR="0012694A" w:rsidRDefault="00817F4A" w:rsidP="0012694A">
            <w:pPr>
              <w:jc w:val="both"/>
              <w:rPr>
                <w:rFonts w:ascii="Avenir Book" w:hAnsi="Avenir Book" w:cs="Calibri"/>
                <w:sz w:val="22"/>
                <w:szCs w:val="22"/>
              </w:rPr>
            </w:pPr>
            <w:r w:rsidRPr="00001050">
              <w:rPr>
                <w:rFonts w:ascii="Avenir Book" w:hAnsi="Avenir Book" w:cs="Calibri"/>
                <w:sz w:val="22"/>
                <w:szCs w:val="22"/>
              </w:rPr>
              <w:t xml:space="preserve">Security </w:t>
            </w:r>
            <w:r w:rsidR="00747465">
              <w:rPr>
                <w:rFonts w:ascii="Avenir Book" w:hAnsi="Avenir Book" w:cs="Calibri"/>
                <w:sz w:val="22"/>
                <w:szCs w:val="22"/>
              </w:rPr>
              <w:t>R</w:t>
            </w:r>
            <w:r w:rsidRPr="00001050">
              <w:rPr>
                <w:rFonts w:ascii="Avenir Book" w:hAnsi="Avenir Book" w:cs="Calibri"/>
                <w:sz w:val="22"/>
                <w:szCs w:val="22"/>
              </w:rPr>
              <w:t xml:space="preserve">isk </w:t>
            </w:r>
            <w:r w:rsidR="00747465">
              <w:rPr>
                <w:rFonts w:ascii="Avenir Book" w:hAnsi="Avenir Book" w:cs="Calibri"/>
                <w:sz w:val="22"/>
                <w:szCs w:val="22"/>
              </w:rPr>
              <w:t>M</w:t>
            </w:r>
            <w:r w:rsidRPr="00001050">
              <w:rPr>
                <w:rFonts w:ascii="Avenir Book" w:hAnsi="Avenir Book" w:cs="Calibri"/>
                <w:sz w:val="22"/>
                <w:szCs w:val="22"/>
              </w:rPr>
              <w:t xml:space="preserve">anagement (SRM) in the humanitarian and development sphere has made noteworthy advancements over the past twenty years. </w:t>
            </w:r>
          </w:p>
          <w:p w14:paraId="5597338E" w14:textId="77777777" w:rsidR="006A7EDF" w:rsidRDefault="006A7EDF" w:rsidP="0012694A">
            <w:pPr>
              <w:jc w:val="both"/>
              <w:rPr>
                <w:rFonts w:ascii="Avenir Book" w:hAnsi="Avenir Book" w:cs="Calibri"/>
                <w:sz w:val="22"/>
                <w:szCs w:val="22"/>
              </w:rPr>
            </w:pPr>
          </w:p>
          <w:p w14:paraId="7E145262" w14:textId="73DD1A5F" w:rsidR="0090342D" w:rsidRDefault="00BC44AD" w:rsidP="0012694A">
            <w:pPr>
              <w:jc w:val="both"/>
              <w:rPr>
                <w:rFonts w:ascii="Avenir Book" w:hAnsi="Avenir Book" w:cs="Calibri"/>
                <w:sz w:val="22"/>
                <w:szCs w:val="22"/>
              </w:rPr>
            </w:pPr>
            <w:r w:rsidRPr="00BC44AD">
              <w:rPr>
                <w:rFonts w:ascii="Avenir Book" w:hAnsi="Avenir Book" w:cs="Calibri"/>
                <w:sz w:val="22"/>
                <w:szCs w:val="22"/>
              </w:rPr>
              <w:t>However</w:t>
            </w:r>
            <w:r w:rsidR="006A7EDF" w:rsidRPr="00BC44AD">
              <w:rPr>
                <w:rFonts w:ascii="Avenir Book" w:hAnsi="Avenir Book" w:cs="Calibri"/>
                <w:sz w:val="22"/>
                <w:szCs w:val="22"/>
              </w:rPr>
              <w:t>, c</w:t>
            </w:r>
            <w:r w:rsidR="008E3E30" w:rsidRPr="00BC44AD">
              <w:rPr>
                <w:rFonts w:ascii="Avenir Book" w:hAnsi="Avenir Book" w:cs="Calibri"/>
                <w:sz w:val="22"/>
                <w:szCs w:val="22"/>
              </w:rPr>
              <w:t>onsidering</w:t>
            </w:r>
            <w:r w:rsidR="00817F4A" w:rsidRPr="00BC44AD">
              <w:rPr>
                <w:rFonts w:ascii="Avenir Book" w:hAnsi="Avenir Book" w:cs="Calibri"/>
                <w:sz w:val="22"/>
                <w:szCs w:val="22"/>
              </w:rPr>
              <w:t xml:space="preserve"> today’s approach</w:t>
            </w:r>
            <w:r w:rsidR="00817F4A" w:rsidRPr="00001050">
              <w:rPr>
                <w:rFonts w:ascii="Avenir Book" w:hAnsi="Avenir Book" w:cs="Calibri"/>
                <w:sz w:val="22"/>
                <w:szCs w:val="22"/>
              </w:rPr>
              <w:t xml:space="preserve"> to SRM in the sector</w:t>
            </w:r>
            <w:r w:rsidR="006A7EDF">
              <w:rPr>
                <w:rFonts w:ascii="Avenir Book" w:hAnsi="Avenir Book" w:cs="Calibri"/>
                <w:sz w:val="22"/>
                <w:szCs w:val="22"/>
              </w:rPr>
              <w:t>,</w:t>
            </w:r>
            <w:r>
              <w:rPr>
                <w:rFonts w:ascii="Avenir Book" w:hAnsi="Avenir Book" w:cs="Calibri"/>
                <w:sz w:val="22"/>
                <w:szCs w:val="22"/>
              </w:rPr>
              <w:t xml:space="preserve"> </w:t>
            </w:r>
            <w:r w:rsidRPr="00001050">
              <w:rPr>
                <w:rFonts w:ascii="Avenir Book" w:hAnsi="Avenir Book" w:cs="Calibri"/>
                <w:i/>
                <w:iCs/>
                <w:sz w:val="22"/>
                <w:szCs w:val="22"/>
              </w:rPr>
              <w:t>Interaction’s Minimum Operating Security Standards (2006)</w:t>
            </w:r>
            <w:r>
              <w:rPr>
                <w:rFonts w:ascii="Avenir Book" w:hAnsi="Avenir Book" w:cs="Calibri"/>
                <w:i/>
                <w:iCs/>
                <w:sz w:val="22"/>
                <w:szCs w:val="22"/>
              </w:rPr>
              <w:t xml:space="preserve"> (MOSS)</w:t>
            </w:r>
            <w:r w:rsidR="00817F4A" w:rsidRPr="00001050">
              <w:rPr>
                <w:rFonts w:ascii="Avenir Book" w:hAnsi="Avenir Book" w:cs="Calibri"/>
                <w:sz w:val="22"/>
                <w:szCs w:val="22"/>
              </w:rPr>
              <w:t xml:space="preserve"> </w:t>
            </w:r>
            <w:r w:rsidR="008B16B9">
              <w:rPr>
                <w:rFonts w:ascii="Avenir Book" w:hAnsi="Avenir Book" w:cs="Calibri"/>
                <w:sz w:val="22"/>
                <w:szCs w:val="22"/>
              </w:rPr>
              <w:t xml:space="preserve">and </w:t>
            </w:r>
            <w:r w:rsidRPr="00BC44AD">
              <w:rPr>
                <w:rFonts w:ascii="Avenir Book" w:hAnsi="Avenir Book" w:cs="Calibri"/>
                <w:sz w:val="22"/>
                <w:szCs w:val="22"/>
              </w:rPr>
              <w:t>the</w:t>
            </w:r>
            <w:r>
              <w:rPr>
                <w:rFonts w:ascii="Avenir Book" w:hAnsi="Avenir Book" w:cs="Calibri"/>
                <w:i/>
                <w:iCs/>
                <w:sz w:val="22"/>
                <w:szCs w:val="22"/>
              </w:rPr>
              <w:t xml:space="preserve"> </w:t>
            </w:r>
            <w:r w:rsidRPr="00001050">
              <w:rPr>
                <w:rFonts w:ascii="Avenir Book" w:hAnsi="Avenir Book" w:cs="Calibri"/>
                <w:i/>
                <w:iCs/>
                <w:sz w:val="22"/>
                <w:szCs w:val="22"/>
              </w:rPr>
              <w:t xml:space="preserve">Good Practice Review, Operational Security in Violent Environments </w:t>
            </w:r>
            <w:r>
              <w:rPr>
                <w:rFonts w:ascii="Avenir Book" w:hAnsi="Avenir Book" w:cs="Calibri"/>
                <w:i/>
                <w:iCs/>
                <w:sz w:val="22"/>
                <w:szCs w:val="22"/>
              </w:rPr>
              <w:t xml:space="preserve">(2010) </w:t>
            </w:r>
            <w:r w:rsidRPr="00001050">
              <w:rPr>
                <w:rFonts w:ascii="Avenir Book" w:hAnsi="Avenir Book" w:cs="Calibri"/>
                <w:i/>
                <w:iCs/>
                <w:sz w:val="22"/>
                <w:szCs w:val="22"/>
              </w:rPr>
              <w:t>(GPR8</w:t>
            </w:r>
            <w:r>
              <w:rPr>
                <w:rFonts w:ascii="Avenir Book" w:hAnsi="Avenir Book" w:cs="Calibri"/>
                <w:sz w:val="22"/>
                <w:szCs w:val="22"/>
              </w:rPr>
              <w:t>)</w:t>
            </w:r>
            <w:r w:rsidR="008B16B9">
              <w:rPr>
                <w:rFonts w:ascii="Avenir Book" w:hAnsi="Avenir Book" w:cs="Calibri"/>
                <w:sz w:val="22"/>
                <w:szCs w:val="22"/>
              </w:rPr>
              <w:t xml:space="preserve"> </w:t>
            </w:r>
            <w:r w:rsidR="00817F4A" w:rsidRPr="00001050">
              <w:rPr>
                <w:rFonts w:ascii="Avenir Book" w:hAnsi="Avenir Book" w:cs="Calibri"/>
                <w:sz w:val="22"/>
                <w:szCs w:val="22"/>
              </w:rPr>
              <w:t xml:space="preserve">could be </w:t>
            </w:r>
            <w:r w:rsidR="00396A14">
              <w:rPr>
                <w:rFonts w:ascii="Avenir Book" w:hAnsi="Avenir Book" w:cs="Calibri"/>
                <w:sz w:val="22"/>
                <w:szCs w:val="22"/>
              </w:rPr>
              <w:t>regarded as</w:t>
            </w:r>
            <w:r w:rsidR="00817F4A" w:rsidRPr="00001050">
              <w:rPr>
                <w:rFonts w:ascii="Avenir Book" w:hAnsi="Avenir Book" w:cs="Calibri"/>
                <w:sz w:val="22"/>
                <w:szCs w:val="22"/>
              </w:rPr>
              <w:t xml:space="preserve"> outdated given the significant changes in </w:t>
            </w:r>
            <w:r w:rsidR="00817F4A" w:rsidRPr="00001050">
              <w:rPr>
                <w:rFonts w:ascii="Avenir Book" w:hAnsi="Avenir Book" w:cs="Calibri"/>
                <w:b/>
                <w:bCs/>
                <w:sz w:val="22"/>
                <w:szCs w:val="22"/>
              </w:rPr>
              <w:t>a</w:t>
            </w:r>
            <w:r w:rsidR="00817F4A" w:rsidRPr="00001050">
              <w:rPr>
                <w:rFonts w:ascii="Avenir Book" w:hAnsi="Avenir Book" w:cs="Calibri"/>
                <w:sz w:val="22"/>
                <w:szCs w:val="22"/>
              </w:rPr>
              <w:t xml:space="preserve">. </w:t>
            </w:r>
            <w:r w:rsidR="006A7EDF">
              <w:rPr>
                <w:rFonts w:ascii="Avenir Book" w:hAnsi="Avenir Book" w:cs="Calibri"/>
                <w:sz w:val="22"/>
                <w:szCs w:val="22"/>
              </w:rPr>
              <w:t xml:space="preserve">global and local </w:t>
            </w:r>
            <w:r w:rsidR="00817F4A" w:rsidRPr="00001050">
              <w:rPr>
                <w:rFonts w:ascii="Avenir Book" w:hAnsi="Avenir Book" w:cs="Calibri"/>
                <w:sz w:val="22"/>
                <w:szCs w:val="22"/>
              </w:rPr>
              <w:t xml:space="preserve">humanitarian architecture, </w:t>
            </w:r>
            <w:r w:rsidR="00817F4A" w:rsidRPr="00001050">
              <w:rPr>
                <w:rFonts w:ascii="Avenir Book" w:hAnsi="Avenir Book" w:cs="Calibri"/>
                <w:b/>
                <w:bCs/>
                <w:sz w:val="22"/>
                <w:szCs w:val="22"/>
              </w:rPr>
              <w:t>b.</w:t>
            </w:r>
            <w:r w:rsidR="00817F4A" w:rsidRPr="00001050">
              <w:rPr>
                <w:rFonts w:ascii="Avenir Book" w:hAnsi="Avenir Book" w:cs="Calibri"/>
                <w:sz w:val="22"/>
                <w:szCs w:val="22"/>
              </w:rPr>
              <w:t xml:space="preserve"> the operating environment</w:t>
            </w:r>
            <w:r w:rsidR="003A2C15" w:rsidRPr="00001050">
              <w:rPr>
                <w:rFonts w:ascii="Avenir Book" w:hAnsi="Avenir Book" w:cs="Calibri"/>
                <w:sz w:val="22"/>
                <w:szCs w:val="22"/>
              </w:rPr>
              <w:t>,</w:t>
            </w:r>
            <w:r w:rsidR="00817F4A" w:rsidRPr="00001050">
              <w:rPr>
                <w:rFonts w:ascii="Avenir Book" w:hAnsi="Avenir Book" w:cs="Calibri"/>
                <w:sz w:val="22"/>
                <w:szCs w:val="22"/>
              </w:rPr>
              <w:t xml:space="preserve"> and </w:t>
            </w:r>
            <w:r w:rsidR="00817F4A" w:rsidRPr="00001050">
              <w:rPr>
                <w:rFonts w:ascii="Avenir Book" w:hAnsi="Avenir Book" w:cs="Calibri"/>
                <w:b/>
                <w:bCs/>
                <w:sz w:val="22"/>
                <w:szCs w:val="22"/>
              </w:rPr>
              <w:t>c.</w:t>
            </w:r>
            <w:r w:rsidR="00817F4A" w:rsidRPr="00001050">
              <w:rPr>
                <w:rFonts w:ascii="Avenir Book" w:hAnsi="Avenir Book" w:cs="Calibri"/>
                <w:sz w:val="22"/>
                <w:szCs w:val="22"/>
              </w:rPr>
              <w:t xml:space="preserve"> the way modern non-profits are structured and managed. </w:t>
            </w:r>
          </w:p>
          <w:p w14:paraId="63526B22" w14:textId="38CA6F83" w:rsidR="008E61AF" w:rsidRDefault="008E61AF" w:rsidP="00817F4A">
            <w:pPr>
              <w:jc w:val="both"/>
              <w:rPr>
                <w:rFonts w:ascii="Avenir Book" w:hAnsi="Avenir Book" w:cs="Calibri"/>
                <w:sz w:val="22"/>
                <w:szCs w:val="22"/>
              </w:rPr>
            </w:pPr>
          </w:p>
          <w:p w14:paraId="2CD0A1D5" w14:textId="64F5D40E" w:rsidR="00FD2AD3" w:rsidRDefault="00FD2AD3" w:rsidP="00FD2AD3">
            <w:pPr>
              <w:jc w:val="both"/>
              <w:rPr>
                <w:rFonts w:ascii="Avenir Book" w:hAnsi="Avenir Book" w:cs="Calibri"/>
                <w:sz w:val="22"/>
                <w:szCs w:val="22"/>
              </w:rPr>
            </w:pPr>
            <w:r w:rsidRPr="00001050">
              <w:rPr>
                <w:rFonts w:ascii="Avenir Book" w:hAnsi="Avenir Book" w:cs="Calibri"/>
                <w:sz w:val="22"/>
                <w:szCs w:val="22"/>
              </w:rPr>
              <w:t xml:space="preserve">With that in mind, GISF has recognised the need to develop a community of practice </w:t>
            </w:r>
            <w:r w:rsidRPr="000E1784">
              <w:rPr>
                <w:rFonts w:ascii="Avenir Book" w:hAnsi="Avenir Book" w:cs="Calibri"/>
                <w:b/>
                <w:bCs/>
                <w:sz w:val="22"/>
                <w:szCs w:val="22"/>
              </w:rPr>
              <w:t>SRM</w:t>
            </w:r>
            <w:r>
              <w:rPr>
                <w:rFonts w:ascii="Avenir Book" w:hAnsi="Avenir Book" w:cs="Calibri"/>
                <w:sz w:val="22"/>
                <w:szCs w:val="22"/>
              </w:rPr>
              <w:t xml:space="preserve"> </w:t>
            </w:r>
            <w:r w:rsidRPr="00001050">
              <w:rPr>
                <w:rFonts w:ascii="Avenir Book" w:hAnsi="Avenir Book" w:cs="Calibri"/>
                <w:b/>
                <w:bCs/>
                <w:sz w:val="22"/>
                <w:szCs w:val="22"/>
              </w:rPr>
              <w:t>Policy</w:t>
            </w:r>
            <w:r w:rsidR="00747465">
              <w:rPr>
                <w:rFonts w:ascii="Avenir Book" w:hAnsi="Avenir Book" w:cs="Calibri"/>
                <w:b/>
                <w:bCs/>
                <w:sz w:val="22"/>
                <w:szCs w:val="22"/>
              </w:rPr>
              <w:t xml:space="preserve"> Resource and</w:t>
            </w:r>
            <w:r w:rsidRPr="00001050">
              <w:rPr>
                <w:rFonts w:ascii="Avenir Book" w:hAnsi="Avenir Book" w:cs="Calibri"/>
                <w:b/>
                <w:bCs/>
                <w:sz w:val="22"/>
                <w:szCs w:val="22"/>
              </w:rPr>
              <w:t xml:space="preserve"> Tool</w:t>
            </w:r>
            <w:r>
              <w:rPr>
                <w:rFonts w:ascii="Avenir Book" w:hAnsi="Avenir Book" w:cs="Calibri"/>
                <w:b/>
                <w:bCs/>
                <w:sz w:val="22"/>
                <w:szCs w:val="22"/>
              </w:rPr>
              <w:t>kit</w:t>
            </w:r>
            <w:r w:rsidRPr="00001050">
              <w:rPr>
                <w:rFonts w:ascii="Avenir Book" w:hAnsi="Avenir Book" w:cs="Calibri"/>
                <w:sz w:val="22"/>
                <w:szCs w:val="22"/>
              </w:rPr>
              <w:t xml:space="preserve"> as a higher-level guide offering Headquarter Offices a pathway for recognising security as a business risk</w:t>
            </w:r>
            <w:r>
              <w:rPr>
                <w:rFonts w:ascii="Avenir Book" w:hAnsi="Avenir Book" w:cs="Calibri"/>
                <w:sz w:val="22"/>
                <w:szCs w:val="22"/>
              </w:rPr>
              <w:t xml:space="preserve"> and linking with some of the most </w:t>
            </w:r>
            <w:r w:rsidRPr="00001050">
              <w:rPr>
                <w:rFonts w:ascii="Avenir Book" w:hAnsi="Avenir Book" w:cs="Calibri"/>
                <w:sz w:val="22"/>
                <w:szCs w:val="22"/>
              </w:rPr>
              <w:t>current</w:t>
            </w:r>
            <w:r>
              <w:rPr>
                <w:rFonts w:ascii="Avenir Book" w:hAnsi="Avenir Book" w:cs="Calibri"/>
                <w:sz w:val="22"/>
                <w:szCs w:val="22"/>
              </w:rPr>
              <w:t xml:space="preserve"> sectoral debates </w:t>
            </w:r>
            <w:r w:rsidRPr="00001050">
              <w:rPr>
                <w:rFonts w:ascii="Avenir Book" w:hAnsi="Avenir Book" w:cs="Calibri"/>
                <w:sz w:val="22"/>
                <w:szCs w:val="22"/>
              </w:rPr>
              <w:t>and acting accordingly to identify effective and appropriate solutions.</w:t>
            </w:r>
          </w:p>
          <w:p w14:paraId="24D56C79" w14:textId="36B4F399" w:rsidR="00FD2AD3" w:rsidRDefault="00FD2AD3" w:rsidP="00FD2AD3">
            <w:pPr>
              <w:jc w:val="both"/>
              <w:rPr>
                <w:rFonts w:ascii="Avenir Book" w:hAnsi="Avenir Book" w:cstheme="majorHAnsi"/>
                <w:sz w:val="22"/>
                <w:szCs w:val="22"/>
              </w:rPr>
            </w:pPr>
          </w:p>
          <w:p w14:paraId="07F3917D" w14:textId="6E8716F6" w:rsidR="00FD2AD3" w:rsidRDefault="00FD2AD3" w:rsidP="002868CC">
            <w:pPr>
              <w:jc w:val="both"/>
              <w:rPr>
                <w:rFonts w:ascii="Avenir Book" w:hAnsi="Avenir Book" w:cs="Calibri"/>
                <w:sz w:val="22"/>
                <w:szCs w:val="22"/>
              </w:rPr>
            </w:pPr>
            <w:r>
              <w:rPr>
                <w:rFonts w:ascii="Avenir Book" w:hAnsi="Avenir Book" w:cs="Calibri"/>
                <w:sz w:val="22"/>
                <w:szCs w:val="22"/>
              </w:rPr>
              <w:t>While t</w:t>
            </w:r>
            <w:r w:rsidRPr="00001050">
              <w:rPr>
                <w:rFonts w:ascii="Avenir Book" w:hAnsi="Avenir Book" w:cs="Calibri"/>
                <w:sz w:val="22"/>
                <w:szCs w:val="22"/>
              </w:rPr>
              <w:t>he primary users of the tool</w:t>
            </w:r>
            <w:r>
              <w:rPr>
                <w:rFonts w:ascii="Avenir Book" w:hAnsi="Avenir Book" w:cs="Calibri"/>
                <w:sz w:val="22"/>
                <w:szCs w:val="22"/>
              </w:rPr>
              <w:t>kit</w:t>
            </w:r>
            <w:r w:rsidRPr="00001050">
              <w:rPr>
                <w:rFonts w:ascii="Avenir Book" w:hAnsi="Avenir Book" w:cs="Calibri"/>
                <w:sz w:val="22"/>
                <w:szCs w:val="22"/>
              </w:rPr>
              <w:t xml:space="preserve"> will be the staff with direct responsibility for developing and implementing the organisational </w:t>
            </w:r>
            <w:r w:rsidR="00930AE8">
              <w:rPr>
                <w:rFonts w:ascii="Avenir Book" w:hAnsi="Avenir Book" w:cs="Calibri"/>
                <w:sz w:val="22"/>
                <w:szCs w:val="22"/>
              </w:rPr>
              <w:t>SRM</w:t>
            </w:r>
            <w:r w:rsidRPr="00001050">
              <w:rPr>
                <w:rFonts w:ascii="Avenir Book" w:hAnsi="Avenir Book" w:cs="Calibri"/>
                <w:sz w:val="22"/>
                <w:szCs w:val="22"/>
              </w:rPr>
              <w:t xml:space="preserve"> strategy</w:t>
            </w:r>
            <w:r w:rsidR="00930AE8">
              <w:rPr>
                <w:rFonts w:ascii="Avenir Book" w:hAnsi="Avenir Book" w:cs="Calibri"/>
                <w:sz w:val="22"/>
                <w:szCs w:val="22"/>
              </w:rPr>
              <w:t xml:space="preserve"> at the HQ level</w:t>
            </w:r>
            <w:r>
              <w:rPr>
                <w:rFonts w:ascii="Avenir Book" w:hAnsi="Avenir Book" w:cs="Calibri"/>
                <w:sz w:val="22"/>
                <w:szCs w:val="22"/>
              </w:rPr>
              <w:t xml:space="preserve">, given the interdisciplinary nature of this product, senior leaders from other </w:t>
            </w:r>
            <w:r w:rsidR="00396A14">
              <w:rPr>
                <w:rFonts w:ascii="Avenir Book" w:hAnsi="Avenir Book" w:cs="Calibri"/>
                <w:sz w:val="22"/>
                <w:szCs w:val="22"/>
              </w:rPr>
              <w:t>work streams</w:t>
            </w:r>
            <w:r>
              <w:rPr>
                <w:rFonts w:ascii="Avenir Book" w:hAnsi="Avenir Book" w:cs="Calibri"/>
                <w:sz w:val="22"/>
                <w:szCs w:val="22"/>
              </w:rPr>
              <w:t xml:space="preserve"> will benefit too</w:t>
            </w:r>
            <w:r w:rsidRPr="00001050">
              <w:rPr>
                <w:rFonts w:ascii="Avenir Book" w:hAnsi="Avenir Book" w:cs="Calibri"/>
                <w:sz w:val="22"/>
                <w:szCs w:val="22"/>
              </w:rPr>
              <w:t xml:space="preserve">. </w:t>
            </w:r>
          </w:p>
          <w:p w14:paraId="31A72733" w14:textId="63F066BB" w:rsidR="000213BA" w:rsidRDefault="000213BA" w:rsidP="002868CC">
            <w:pPr>
              <w:jc w:val="both"/>
              <w:rPr>
                <w:rFonts w:ascii="Avenir Book" w:hAnsi="Avenir Book" w:cs="Calibri"/>
                <w:sz w:val="22"/>
                <w:szCs w:val="22"/>
              </w:rPr>
            </w:pPr>
          </w:p>
          <w:p w14:paraId="60CB4D8B" w14:textId="4F88D846" w:rsidR="000213BA" w:rsidRDefault="00747465" w:rsidP="000213BA">
            <w:pPr>
              <w:jc w:val="both"/>
              <w:rPr>
                <w:rFonts w:ascii="Calibri" w:hAnsi="Calibri" w:cs="Calibri"/>
                <w:sz w:val="22"/>
                <w:szCs w:val="22"/>
              </w:rPr>
            </w:pPr>
            <w:r>
              <w:rPr>
                <w:rFonts w:ascii="Avenir Book" w:hAnsi="Avenir Book" w:cs="Calibri"/>
                <w:sz w:val="22"/>
                <w:szCs w:val="22"/>
              </w:rPr>
              <w:t>The SRM</w:t>
            </w:r>
            <w:r w:rsidR="000213BA" w:rsidRPr="00001050">
              <w:rPr>
                <w:rFonts w:ascii="Avenir Book" w:hAnsi="Avenir Book" w:cs="Calibri"/>
                <w:sz w:val="22"/>
                <w:szCs w:val="22"/>
              </w:rPr>
              <w:t xml:space="preserve"> </w:t>
            </w:r>
            <w:r>
              <w:rPr>
                <w:rFonts w:ascii="Avenir Book" w:hAnsi="Avenir Book" w:cs="Calibri"/>
                <w:sz w:val="22"/>
                <w:szCs w:val="22"/>
              </w:rPr>
              <w:t>Resource and T</w:t>
            </w:r>
            <w:r w:rsidR="000213BA" w:rsidRPr="00001050">
              <w:rPr>
                <w:rFonts w:ascii="Avenir Book" w:hAnsi="Avenir Book" w:cs="Calibri"/>
                <w:sz w:val="22"/>
                <w:szCs w:val="22"/>
              </w:rPr>
              <w:t>ool</w:t>
            </w:r>
            <w:r w:rsidR="000213BA">
              <w:rPr>
                <w:rFonts w:ascii="Avenir Book" w:hAnsi="Avenir Book" w:cs="Calibri"/>
                <w:sz w:val="22"/>
                <w:szCs w:val="22"/>
              </w:rPr>
              <w:t>kit</w:t>
            </w:r>
            <w:r w:rsidR="000213BA" w:rsidRPr="00001050">
              <w:rPr>
                <w:rFonts w:ascii="Avenir Book" w:hAnsi="Avenir Book" w:cs="Calibri"/>
                <w:sz w:val="22"/>
                <w:szCs w:val="22"/>
              </w:rPr>
              <w:t xml:space="preserve"> will be informed by the broader trends in the humanitarian and development sectors and lead with the foundational argument that a strong SRM culture and infrastructure equals quality programming in the long term.</w:t>
            </w:r>
            <w:r w:rsidR="000213BA">
              <w:rPr>
                <w:rFonts w:ascii="Avenir Book" w:hAnsi="Avenir Book" w:cs="Calibri"/>
                <w:sz w:val="22"/>
                <w:szCs w:val="22"/>
              </w:rPr>
              <w:t xml:space="preserve"> </w:t>
            </w:r>
            <w:r w:rsidR="000213BA" w:rsidRPr="008E3E30">
              <w:rPr>
                <w:rFonts w:ascii="Avenir Book" w:hAnsi="Avenir Book" w:cs="Calibri"/>
                <w:sz w:val="22"/>
                <w:szCs w:val="22"/>
              </w:rPr>
              <w:t xml:space="preserve">The project will take a modular approach, with a short introduction and </w:t>
            </w:r>
            <w:r w:rsidR="00396A14">
              <w:rPr>
                <w:rFonts w:ascii="Avenir Book" w:hAnsi="Avenir Book" w:cs="Calibri"/>
                <w:sz w:val="22"/>
                <w:szCs w:val="22"/>
              </w:rPr>
              <w:t xml:space="preserve">a </w:t>
            </w:r>
            <w:r w:rsidR="000213BA" w:rsidRPr="008E3E30">
              <w:rPr>
                <w:rFonts w:ascii="Avenir Book" w:hAnsi="Avenir Book" w:cs="Calibri"/>
                <w:sz w:val="22"/>
                <w:szCs w:val="22"/>
              </w:rPr>
              <w:t>‘how to use’ section followed by a series of modules.</w:t>
            </w:r>
            <w:r w:rsidR="000213BA">
              <w:rPr>
                <w:rFonts w:ascii="Calibri" w:hAnsi="Calibri" w:cs="Calibri"/>
                <w:sz w:val="22"/>
                <w:szCs w:val="22"/>
              </w:rPr>
              <w:t xml:space="preserve"> </w:t>
            </w:r>
          </w:p>
          <w:p w14:paraId="713903D5" w14:textId="77777777" w:rsidR="000213BA" w:rsidRPr="00001050" w:rsidRDefault="000213BA" w:rsidP="00817F4A">
            <w:pPr>
              <w:jc w:val="both"/>
              <w:rPr>
                <w:rFonts w:ascii="Avenir Book" w:hAnsi="Avenir Book" w:cs="Calibri"/>
                <w:sz w:val="22"/>
                <w:szCs w:val="22"/>
              </w:rPr>
            </w:pPr>
          </w:p>
          <w:p w14:paraId="30F4F7CB" w14:textId="35EBA1F1" w:rsidR="0024473A" w:rsidRPr="00A0322B" w:rsidRDefault="00FB4AC4" w:rsidP="006F59FB">
            <w:pPr>
              <w:jc w:val="both"/>
              <w:rPr>
                <w:rFonts w:ascii="Avenir Book" w:hAnsi="Avenir Book" w:cstheme="majorHAnsi"/>
                <w:sz w:val="22"/>
                <w:szCs w:val="22"/>
              </w:rPr>
            </w:pPr>
            <w:r>
              <w:rPr>
                <w:rFonts w:ascii="Avenir Book" w:hAnsi="Avenir Book" w:cs="Calibri"/>
                <w:b/>
                <w:bCs/>
                <w:sz w:val="22"/>
                <w:szCs w:val="22"/>
              </w:rPr>
              <w:lastRenderedPageBreak/>
              <w:t xml:space="preserve">Project </w:t>
            </w:r>
            <w:r w:rsidR="00A24157" w:rsidRPr="00A24157">
              <w:rPr>
                <w:rFonts w:ascii="Avenir Book" w:hAnsi="Avenir Book" w:cs="Calibri"/>
                <w:b/>
                <w:bCs/>
                <w:sz w:val="22"/>
                <w:szCs w:val="22"/>
              </w:rPr>
              <w:t xml:space="preserve">outline: </w:t>
            </w:r>
            <w:r w:rsidR="00A0322B" w:rsidRPr="00A0322B">
              <w:rPr>
                <w:rFonts w:ascii="Avenir Book" w:hAnsi="Avenir Book" w:cs="Calibri"/>
                <w:sz w:val="22"/>
                <w:szCs w:val="22"/>
              </w:rPr>
              <w:t>see</w:t>
            </w:r>
            <w:r w:rsidR="00A0322B">
              <w:rPr>
                <w:rFonts w:ascii="Avenir Book" w:hAnsi="Avenir Book" w:cs="Calibri"/>
                <w:b/>
                <w:bCs/>
                <w:sz w:val="22"/>
                <w:szCs w:val="22"/>
              </w:rPr>
              <w:t xml:space="preserve"> </w:t>
            </w:r>
            <w:r w:rsidR="0024473A" w:rsidRPr="00A0322B">
              <w:rPr>
                <w:rFonts w:ascii="Avenir Book" w:hAnsi="Avenir Book" w:cstheme="majorHAnsi"/>
                <w:b/>
                <w:bCs/>
                <w:sz w:val="22"/>
                <w:szCs w:val="22"/>
              </w:rPr>
              <w:t>Annex I</w:t>
            </w:r>
            <w:r w:rsidR="00A0322B">
              <w:rPr>
                <w:rFonts w:ascii="Avenir Book" w:hAnsi="Avenir Book" w:cstheme="majorHAnsi"/>
                <w:sz w:val="22"/>
                <w:szCs w:val="22"/>
              </w:rPr>
              <w:t xml:space="preserve"> </w:t>
            </w:r>
          </w:p>
        </w:tc>
      </w:tr>
      <w:tr w:rsidR="001F4CFF" w:rsidRPr="00001050" w14:paraId="77D526AC" w14:textId="77777777" w:rsidTr="0012694A">
        <w:trPr>
          <w:trHeight w:val="297"/>
        </w:trPr>
        <w:tc>
          <w:tcPr>
            <w:tcW w:w="1885" w:type="dxa"/>
            <w:tcBorders>
              <w:bottom w:val="single" w:sz="4" w:space="0" w:color="auto"/>
            </w:tcBorders>
            <w:shd w:val="clear" w:color="auto" w:fill="D5DCE4" w:themeFill="text2" w:themeFillTint="33"/>
          </w:tcPr>
          <w:p w14:paraId="219BF594" w14:textId="24036D2C" w:rsidR="001F4CFF" w:rsidRPr="00001050" w:rsidRDefault="00AC6B9C" w:rsidP="00817F4A">
            <w:pPr>
              <w:rPr>
                <w:rFonts w:ascii="Avenir Book" w:hAnsi="Avenir Book" w:cstheme="majorHAnsi"/>
                <w:b/>
                <w:sz w:val="22"/>
                <w:szCs w:val="22"/>
              </w:rPr>
            </w:pPr>
            <w:r>
              <w:rPr>
                <w:rFonts w:ascii="Avenir Book" w:hAnsi="Avenir Book" w:cstheme="majorHAnsi"/>
                <w:b/>
                <w:sz w:val="22"/>
                <w:szCs w:val="22"/>
              </w:rPr>
              <w:lastRenderedPageBreak/>
              <w:t xml:space="preserve">Suggested </w:t>
            </w:r>
            <w:r w:rsidR="00A53EBD">
              <w:rPr>
                <w:rFonts w:ascii="Avenir Book" w:hAnsi="Avenir Book" w:cstheme="majorHAnsi"/>
                <w:b/>
                <w:sz w:val="22"/>
                <w:szCs w:val="22"/>
              </w:rPr>
              <w:t>Methodology</w:t>
            </w:r>
          </w:p>
        </w:tc>
        <w:tc>
          <w:tcPr>
            <w:tcW w:w="7723" w:type="dxa"/>
          </w:tcPr>
          <w:p w14:paraId="6A99D8AC" w14:textId="77777777" w:rsidR="008E3E30" w:rsidRDefault="008E3E30" w:rsidP="008E3E30">
            <w:pPr>
              <w:rPr>
                <w:rFonts w:ascii="Avenir Book" w:hAnsi="Avenir Book" w:cs="Calibri"/>
                <w:sz w:val="22"/>
                <w:szCs w:val="22"/>
              </w:rPr>
            </w:pPr>
          </w:p>
          <w:p w14:paraId="41A06EC8" w14:textId="471ACF91" w:rsidR="008E3E30" w:rsidRPr="004F033B" w:rsidRDefault="008E3E30" w:rsidP="008E3E30">
            <w:pPr>
              <w:rPr>
                <w:rFonts w:ascii="Avenir Book" w:hAnsi="Avenir Book" w:cs="Calibri"/>
                <w:b/>
                <w:bCs/>
                <w:sz w:val="22"/>
                <w:szCs w:val="22"/>
              </w:rPr>
            </w:pPr>
            <w:r w:rsidRPr="004F033B">
              <w:rPr>
                <w:rFonts w:ascii="Avenir Book" w:hAnsi="Avenir Book" w:cs="Calibri"/>
                <w:b/>
                <w:bCs/>
                <w:sz w:val="22"/>
                <w:szCs w:val="22"/>
              </w:rPr>
              <w:t xml:space="preserve">GISF Philosophy </w:t>
            </w:r>
          </w:p>
          <w:p w14:paraId="78C0816B" w14:textId="77777777" w:rsidR="008E3E30" w:rsidRPr="004F033B" w:rsidRDefault="008E3E30" w:rsidP="004F033B">
            <w:pPr>
              <w:rPr>
                <w:rFonts w:ascii="Avenir Book" w:hAnsi="Avenir Book" w:cs="Calibri"/>
                <w:sz w:val="22"/>
                <w:szCs w:val="22"/>
              </w:rPr>
            </w:pPr>
          </w:p>
          <w:p w14:paraId="422AF5A6" w14:textId="4FDDC77A" w:rsidR="001F4CFF" w:rsidRDefault="001F4CFF" w:rsidP="006A7EDF">
            <w:pPr>
              <w:pStyle w:val="ListParagraph"/>
              <w:numPr>
                <w:ilvl w:val="0"/>
                <w:numId w:val="36"/>
              </w:numPr>
              <w:jc w:val="both"/>
              <w:rPr>
                <w:rFonts w:ascii="Avenir Book" w:hAnsi="Avenir Book" w:cs="Calibri"/>
                <w:sz w:val="22"/>
                <w:szCs w:val="22"/>
              </w:rPr>
            </w:pPr>
            <w:r w:rsidRPr="00A53EBD">
              <w:rPr>
                <w:rFonts w:ascii="Avenir Book" w:hAnsi="Avenir Book" w:cs="Calibri"/>
                <w:sz w:val="22"/>
                <w:szCs w:val="22"/>
              </w:rPr>
              <w:t>GISF works in an inclusive approach with our members and other experts</w:t>
            </w:r>
            <w:r w:rsidR="004E012C" w:rsidRPr="00A53EBD">
              <w:rPr>
                <w:rFonts w:ascii="Avenir Book" w:hAnsi="Avenir Book" w:cs="Calibri"/>
                <w:sz w:val="22"/>
                <w:szCs w:val="22"/>
              </w:rPr>
              <w:t xml:space="preserve">; </w:t>
            </w:r>
            <w:r w:rsidRPr="00A53EBD">
              <w:rPr>
                <w:rFonts w:ascii="Avenir Book" w:hAnsi="Avenir Book" w:cs="Calibri"/>
                <w:sz w:val="22"/>
                <w:szCs w:val="22"/>
              </w:rPr>
              <w:t xml:space="preserve">this project will be the same. We expect the consultant to work with GISF and a small working group </w:t>
            </w:r>
            <w:r w:rsidR="004E1ABC">
              <w:rPr>
                <w:rFonts w:ascii="Avenir Book" w:hAnsi="Avenir Book" w:cs="Calibri"/>
                <w:sz w:val="22"/>
                <w:szCs w:val="22"/>
              </w:rPr>
              <w:t xml:space="preserve">of senior SRM professionals </w:t>
            </w:r>
            <w:r w:rsidR="00EA11F3">
              <w:rPr>
                <w:rFonts w:ascii="Avenir Book" w:hAnsi="Avenir Book" w:cs="Calibri"/>
                <w:sz w:val="22"/>
                <w:szCs w:val="22"/>
              </w:rPr>
              <w:t>and other senior staff</w:t>
            </w:r>
            <w:r w:rsidR="00396A14">
              <w:rPr>
                <w:rFonts w:ascii="Avenir Book" w:hAnsi="Avenir Book" w:cs="Calibri"/>
                <w:sz w:val="22"/>
                <w:szCs w:val="22"/>
              </w:rPr>
              <w:t>,</w:t>
            </w:r>
            <w:r w:rsidR="00EA11F3">
              <w:rPr>
                <w:rFonts w:ascii="Avenir Book" w:hAnsi="Avenir Book" w:cs="Calibri"/>
                <w:sz w:val="22"/>
                <w:szCs w:val="22"/>
              </w:rPr>
              <w:t xml:space="preserve"> </w:t>
            </w:r>
            <w:r w:rsidRPr="00A53EBD">
              <w:rPr>
                <w:rFonts w:ascii="Avenir Book" w:hAnsi="Avenir Book" w:cs="Calibri"/>
                <w:sz w:val="22"/>
                <w:szCs w:val="22"/>
              </w:rPr>
              <w:t xml:space="preserve">which will provide guidance and inputs at the various review stages. </w:t>
            </w:r>
          </w:p>
          <w:p w14:paraId="63E429EB" w14:textId="77777777" w:rsidR="008E3E30" w:rsidRPr="00001050" w:rsidRDefault="008E3E30" w:rsidP="008E3E30">
            <w:pPr>
              <w:rPr>
                <w:rFonts w:ascii="Avenir Book" w:hAnsi="Avenir Book" w:cstheme="majorHAnsi"/>
                <w:sz w:val="22"/>
                <w:szCs w:val="22"/>
              </w:rPr>
            </w:pPr>
          </w:p>
          <w:p w14:paraId="74F40E10" w14:textId="225A0C95" w:rsidR="00A356CA" w:rsidRDefault="008E3E30" w:rsidP="006A7EDF">
            <w:pPr>
              <w:pStyle w:val="ListParagraph"/>
              <w:numPr>
                <w:ilvl w:val="0"/>
                <w:numId w:val="36"/>
              </w:numPr>
              <w:jc w:val="both"/>
              <w:rPr>
                <w:rFonts w:ascii="Avenir Book" w:hAnsi="Avenir Book" w:cstheme="majorHAnsi"/>
                <w:sz w:val="22"/>
                <w:szCs w:val="22"/>
              </w:rPr>
            </w:pPr>
            <w:r w:rsidRPr="004F033B">
              <w:rPr>
                <w:rFonts w:ascii="Avenir Book" w:hAnsi="Avenir Book" w:cstheme="majorHAnsi"/>
                <w:sz w:val="22"/>
                <w:szCs w:val="22"/>
              </w:rPr>
              <w:t>GISF will</w:t>
            </w:r>
            <w:r w:rsidRPr="00A53EBD">
              <w:rPr>
                <w:rFonts w:ascii="Avenir Book" w:hAnsi="Avenir Book" w:cstheme="majorHAnsi"/>
                <w:sz w:val="22"/>
                <w:szCs w:val="22"/>
              </w:rPr>
              <w:t xml:space="preserve"> supervise the consultant</w:t>
            </w:r>
            <w:r w:rsidR="006A7EDF">
              <w:rPr>
                <w:rFonts w:ascii="Avenir Book" w:hAnsi="Avenir Book" w:cstheme="majorHAnsi"/>
                <w:sz w:val="22"/>
                <w:szCs w:val="22"/>
              </w:rPr>
              <w:t>(</w:t>
            </w:r>
            <w:r w:rsidRPr="00A53EBD">
              <w:rPr>
                <w:rFonts w:ascii="Avenir Book" w:hAnsi="Avenir Book" w:cstheme="majorHAnsi"/>
                <w:sz w:val="22"/>
                <w:szCs w:val="22"/>
              </w:rPr>
              <w:t>s</w:t>
            </w:r>
            <w:r w:rsidR="006A7EDF">
              <w:rPr>
                <w:rFonts w:ascii="Avenir Book" w:hAnsi="Avenir Book" w:cstheme="majorHAnsi"/>
                <w:sz w:val="22"/>
                <w:szCs w:val="22"/>
              </w:rPr>
              <w:t>)</w:t>
            </w:r>
            <w:r w:rsidRPr="00A53EBD">
              <w:rPr>
                <w:rFonts w:ascii="Avenir Book" w:hAnsi="Avenir Book" w:cstheme="majorHAnsi"/>
                <w:sz w:val="22"/>
                <w:szCs w:val="22"/>
              </w:rPr>
              <w:t>’ work to ensure the tool</w:t>
            </w:r>
            <w:r>
              <w:rPr>
                <w:rFonts w:ascii="Avenir Book" w:hAnsi="Avenir Book" w:cstheme="majorHAnsi"/>
                <w:sz w:val="22"/>
                <w:szCs w:val="22"/>
              </w:rPr>
              <w:t>kit</w:t>
            </w:r>
            <w:r w:rsidRPr="00A53EBD">
              <w:rPr>
                <w:rFonts w:ascii="Avenir Book" w:hAnsi="Avenir Book" w:cstheme="majorHAnsi"/>
                <w:sz w:val="22"/>
                <w:szCs w:val="22"/>
              </w:rPr>
              <w:t xml:space="preserve"> meets the project’s objectives</w:t>
            </w:r>
            <w:r w:rsidR="00396A14">
              <w:rPr>
                <w:rFonts w:ascii="Avenir Book" w:hAnsi="Avenir Book" w:cstheme="majorHAnsi"/>
                <w:sz w:val="22"/>
                <w:szCs w:val="22"/>
              </w:rPr>
              <w:t xml:space="preserve"> and</w:t>
            </w:r>
            <w:r w:rsidRPr="00A53EBD">
              <w:rPr>
                <w:rFonts w:ascii="Avenir Book" w:hAnsi="Avenir Book" w:cstheme="majorHAnsi"/>
                <w:sz w:val="22"/>
                <w:szCs w:val="22"/>
              </w:rPr>
              <w:t xml:space="preserve"> support the consultant on the administrative side of the project management required around the development of the tool. This will include reviewing and providing feedback on drafts and final products. </w:t>
            </w:r>
          </w:p>
          <w:p w14:paraId="27916704" w14:textId="77777777" w:rsidR="00357A30" w:rsidRPr="00357A30" w:rsidRDefault="00357A30" w:rsidP="00357A30">
            <w:pPr>
              <w:pStyle w:val="ListParagraph"/>
              <w:rPr>
                <w:rFonts w:ascii="Avenir Book" w:hAnsi="Avenir Book" w:cstheme="majorHAnsi"/>
                <w:sz w:val="22"/>
                <w:szCs w:val="22"/>
              </w:rPr>
            </w:pPr>
          </w:p>
          <w:p w14:paraId="59C82A10" w14:textId="102003B1" w:rsidR="00357A30" w:rsidRPr="004F033B" w:rsidRDefault="00A4109A" w:rsidP="00357A30">
            <w:pPr>
              <w:rPr>
                <w:rFonts w:ascii="Avenir Book" w:hAnsi="Avenir Book" w:cstheme="majorHAnsi"/>
                <w:b/>
                <w:bCs/>
                <w:sz w:val="22"/>
                <w:szCs w:val="22"/>
              </w:rPr>
            </w:pPr>
            <w:r>
              <w:rPr>
                <w:rFonts w:ascii="Avenir Book" w:hAnsi="Avenir Book" w:cstheme="majorHAnsi"/>
                <w:b/>
                <w:bCs/>
                <w:sz w:val="22"/>
                <w:szCs w:val="22"/>
              </w:rPr>
              <w:t xml:space="preserve">Steering </w:t>
            </w:r>
            <w:r w:rsidR="00357A30" w:rsidRPr="004F033B">
              <w:rPr>
                <w:rFonts w:ascii="Avenir Book" w:hAnsi="Avenir Book" w:cstheme="majorHAnsi"/>
                <w:b/>
                <w:bCs/>
                <w:sz w:val="22"/>
                <w:szCs w:val="22"/>
              </w:rPr>
              <w:t xml:space="preserve">Working Group </w:t>
            </w:r>
          </w:p>
          <w:p w14:paraId="6F0282EC" w14:textId="77777777" w:rsidR="00357A30" w:rsidRPr="004E1ABC" w:rsidRDefault="00357A30" w:rsidP="00357A30">
            <w:pPr>
              <w:pStyle w:val="ListParagraph"/>
              <w:rPr>
                <w:rFonts w:ascii="Calibri" w:eastAsia="Calibri" w:hAnsi="Calibri" w:cs="Calibri"/>
              </w:rPr>
            </w:pPr>
          </w:p>
          <w:p w14:paraId="4E659324" w14:textId="2E46559D" w:rsidR="00357A30" w:rsidRDefault="00357A30" w:rsidP="00A4109A">
            <w:pPr>
              <w:pStyle w:val="ListParagraph"/>
              <w:numPr>
                <w:ilvl w:val="0"/>
                <w:numId w:val="36"/>
              </w:numPr>
              <w:jc w:val="both"/>
              <w:rPr>
                <w:rFonts w:ascii="Avenir Book" w:hAnsi="Avenir Book" w:cstheme="majorHAnsi"/>
                <w:sz w:val="22"/>
                <w:szCs w:val="22"/>
              </w:rPr>
            </w:pPr>
            <w:r w:rsidRPr="00AC6B9C">
              <w:rPr>
                <w:rFonts w:ascii="Avenir Book" w:hAnsi="Avenir Book" w:cstheme="majorHAnsi"/>
                <w:sz w:val="22"/>
                <w:szCs w:val="22"/>
              </w:rPr>
              <w:t xml:space="preserve">The </w:t>
            </w:r>
            <w:r w:rsidR="00A4109A">
              <w:rPr>
                <w:rFonts w:ascii="Avenir Book" w:hAnsi="Avenir Book" w:cstheme="majorHAnsi"/>
                <w:sz w:val="22"/>
                <w:szCs w:val="22"/>
              </w:rPr>
              <w:t>W</w:t>
            </w:r>
            <w:r w:rsidRPr="00AC6B9C">
              <w:rPr>
                <w:rFonts w:ascii="Avenir Book" w:hAnsi="Avenir Book" w:cstheme="majorHAnsi"/>
                <w:sz w:val="22"/>
                <w:szCs w:val="22"/>
              </w:rPr>
              <w:t xml:space="preserve">orking </w:t>
            </w:r>
            <w:r w:rsidR="00A4109A">
              <w:rPr>
                <w:rFonts w:ascii="Avenir Book" w:hAnsi="Avenir Book" w:cstheme="majorHAnsi"/>
                <w:sz w:val="22"/>
                <w:szCs w:val="22"/>
              </w:rPr>
              <w:t>G</w:t>
            </w:r>
            <w:r w:rsidRPr="00AC6B9C">
              <w:rPr>
                <w:rFonts w:ascii="Avenir Book" w:hAnsi="Avenir Book" w:cstheme="majorHAnsi"/>
                <w:sz w:val="22"/>
                <w:szCs w:val="22"/>
              </w:rPr>
              <w:t xml:space="preserve">roup will provide overall oversight of the project, ensuring the final outputs meet the needs of GISF members and the broader aid sector. The </w:t>
            </w:r>
            <w:r w:rsidR="00A4109A">
              <w:rPr>
                <w:rFonts w:ascii="Avenir Book" w:hAnsi="Avenir Book" w:cstheme="majorHAnsi"/>
                <w:sz w:val="22"/>
                <w:szCs w:val="22"/>
              </w:rPr>
              <w:t>W</w:t>
            </w:r>
            <w:r w:rsidRPr="00AC6B9C">
              <w:rPr>
                <w:rFonts w:ascii="Avenir Book" w:hAnsi="Avenir Book" w:cstheme="majorHAnsi"/>
                <w:sz w:val="22"/>
                <w:szCs w:val="22"/>
              </w:rPr>
              <w:t xml:space="preserve">orking </w:t>
            </w:r>
            <w:r w:rsidR="00A4109A">
              <w:rPr>
                <w:rFonts w:ascii="Avenir Book" w:hAnsi="Avenir Book" w:cstheme="majorHAnsi"/>
                <w:sz w:val="22"/>
                <w:szCs w:val="22"/>
              </w:rPr>
              <w:t>G</w:t>
            </w:r>
            <w:r w:rsidRPr="00AC6B9C">
              <w:rPr>
                <w:rFonts w:ascii="Avenir Book" w:hAnsi="Avenir Book" w:cstheme="majorHAnsi"/>
                <w:sz w:val="22"/>
                <w:szCs w:val="22"/>
              </w:rPr>
              <w:t xml:space="preserve">roup will provide input into the overall product development, including the initial project outline document, the draft of the modules, and the tools. Members of the working group may contribute to drafting modules where fitting.   </w:t>
            </w:r>
          </w:p>
          <w:p w14:paraId="272788E6" w14:textId="77777777" w:rsidR="008E3E30" w:rsidRPr="00357A30" w:rsidRDefault="008E3E30" w:rsidP="00357A30">
            <w:pPr>
              <w:rPr>
                <w:rFonts w:ascii="Avenir Book" w:hAnsi="Avenir Book" w:cstheme="majorHAnsi"/>
                <w:sz w:val="22"/>
                <w:szCs w:val="22"/>
              </w:rPr>
            </w:pPr>
          </w:p>
          <w:p w14:paraId="67AB068F" w14:textId="053763E0" w:rsidR="008E3E30" w:rsidRPr="004F033B" w:rsidRDefault="00A356CA" w:rsidP="004F033B">
            <w:pPr>
              <w:rPr>
                <w:rFonts w:ascii="Avenir Book" w:hAnsi="Avenir Book" w:cstheme="majorHAnsi"/>
                <w:b/>
                <w:bCs/>
                <w:sz w:val="22"/>
                <w:szCs w:val="22"/>
              </w:rPr>
            </w:pPr>
            <w:r w:rsidRPr="004F033B">
              <w:rPr>
                <w:rFonts w:ascii="Avenir Book" w:hAnsi="Avenir Book" w:cstheme="majorHAnsi"/>
                <w:b/>
                <w:bCs/>
                <w:sz w:val="22"/>
                <w:szCs w:val="22"/>
              </w:rPr>
              <w:t>Suggested approach</w:t>
            </w:r>
          </w:p>
          <w:p w14:paraId="051EBCA5" w14:textId="77777777" w:rsidR="001F4CFF" w:rsidRPr="00001050" w:rsidRDefault="001F4CFF" w:rsidP="001F4CFF">
            <w:pPr>
              <w:rPr>
                <w:rFonts w:ascii="Avenir Book" w:hAnsi="Avenir Book" w:cs="Calibri"/>
                <w:sz w:val="22"/>
                <w:szCs w:val="22"/>
              </w:rPr>
            </w:pPr>
          </w:p>
          <w:p w14:paraId="23D24E31" w14:textId="3BB6D589" w:rsidR="00747465" w:rsidRDefault="00747465" w:rsidP="00A4109A">
            <w:pPr>
              <w:pStyle w:val="ListParagraph"/>
              <w:numPr>
                <w:ilvl w:val="0"/>
                <w:numId w:val="36"/>
              </w:numPr>
              <w:jc w:val="both"/>
              <w:rPr>
                <w:rFonts w:ascii="Avenir Book" w:hAnsi="Avenir Book" w:cs="Calibri"/>
                <w:sz w:val="22"/>
                <w:szCs w:val="22"/>
              </w:rPr>
            </w:pPr>
            <w:r>
              <w:rPr>
                <w:rFonts w:ascii="Avenir Book" w:hAnsi="Avenir Book" w:cs="Calibri"/>
                <w:sz w:val="22"/>
                <w:szCs w:val="22"/>
              </w:rPr>
              <w:t>Each theme is expected to take 3-5 pages</w:t>
            </w:r>
            <w:r w:rsidR="00396A14">
              <w:rPr>
                <w:rFonts w:ascii="Avenir Book" w:hAnsi="Avenir Book" w:cs="Calibri"/>
                <w:sz w:val="22"/>
                <w:szCs w:val="22"/>
              </w:rPr>
              <w:t>,</w:t>
            </w:r>
            <w:r>
              <w:rPr>
                <w:rFonts w:ascii="Avenir Book" w:hAnsi="Avenir Book" w:cs="Calibri"/>
                <w:sz w:val="22"/>
                <w:szCs w:val="22"/>
              </w:rPr>
              <w:t xml:space="preserve"> and </w:t>
            </w:r>
            <w:r w:rsidR="00396A14">
              <w:rPr>
                <w:rFonts w:ascii="Avenir Book" w:hAnsi="Avenir Book" w:cs="Calibri"/>
                <w:sz w:val="22"/>
                <w:szCs w:val="22"/>
              </w:rPr>
              <w:t>overall,</w:t>
            </w:r>
            <w:r>
              <w:rPr>
                <w:rFonts w:ascii="Avenir Book" w:hAnsi="Avenir Book" w:cs="Calibri"/>
                <w:sz w:val="22"/>
                <w:szCs w:val="22"/>
              </w:rPr>
              <w:t xml:space="preserve"> the </w:t>
            </w:r>
            <w:r w:rsidR="006A7EDF">
              <w:rPr>
                <w:rFonts w:ascii="Avenir Book" w:hAnsi="Avenir Book" w:cs="Calibri"/>
                <w:sz w:val="22"/>
                <w:szCs w:val="22"/>
              </w:rPr>
              <w:t xml:space="preserve">core </w:t>
            </w:r>
            <w:r>
              <w:rPr>
                <w:rFonts w:ascii="Avenir Book" w:hAnsi="Avenir Book" w:cs="Calibri"/>
                <w:sz w:val="22"/>
                <w:szCs w:val="22"/>
              </w:rPr>
              <w:t>document is expected to be about 50 pages long</w:t>
            </w:r>
            <w:r w:rsidR="00396A14">
              <w:rPr>
                <w:rFonts w:ascii="Avenir Book" w:hAnsi="Avenir Book" w:cs="Calibri"/>
                <w:sz w:val="22"/>
                <w:szCs w:val="22"/>
              </w:rPr>
              <w:t>,</w:t>
            </w:r>
            <w:r>
              <w:rPr>
                <w:rFonts w:ascii="Avenir Book" w:hAnsi="Avenir Book" w:cs="Calibri"/>
                <w:sz w:val="22"/>
                <w:szCs w:val="22"/>
              </w:rPr>
              <w:t xml:space="preserve"> excluding annexes</w:t>
            </w:r>
            <w:r w:rsidR="006A7EDF">
              <w:rPr>
                <w:rFonts w:ascii="Avenir Book" w:hAnsi="Avenir Book" w:cs="Calibri"/>
                <w:sz w:val="22"/>
                <w:szCs w:val="22"/>
              </w:rPr>
              <w:t xml:space="preserve"> and </w:t>
            </w:r>
            <w:r>
              <w:rPr>
                <w:rFonts w:ascii="Avenir Book" w:hAnsi="Avenir Book" w:cs="Calibri"/>
                <w:sz w:val="22"/>
                <w:szCs w:val="22"/>
              </w:rPr>
              <w:t>tools.</w:t>
            </w:r>
          </w:p>
          <w:p w14:paraId="5D7C9B2C" w14:textId="77777777" w:rsidR="00747465" w:rsidRDefault="00747465" w:rsidP="00747465">
            <w:pPr>
              <w:pStyle w:val="ListParagraph"/>
              <w:jc w:val="both"/>
              <w:rPr>
                <w:rFonts w:ascii="Avenir Book" w:hAnsi="Avenir Book" w:cs="Calibri"/>
                <w:sz w:val="22"/>
                <w:szCs w:val="22"/>
              </w:rPr>
            </w:pPr>
          </w:p>
          <w:p w14:paraId="0737C988" w14:textId="2C08E4C9" w:rsidR="001F4CFF" w:rsidRPr="00A53EBD" w:rsidRDefault="001F4CFF" w:rsidP="00A4109A">
            <w:pPr>
              <w:pStyle w:val="ListParagraph"/>
              <w:numPr>
                <w:ilvl w:val="0"/>
                <w:numId w:val="36"/>
              </w:numPr>
              <w:jc w:val="both"/>
              <w:rPr>
                <w:rFonts w:ascii="Avenir Book" w:hAnsi="Avenir Book" w:cs="Calibri"/>
                <w:sz w:val="22"/>
                <w:szCs w:val="22"/>
              </w:rPr>
            </w:pPr>
            <w:r w:rsidRPr="00A53EBD">
              <w:rPr>
                <w:rFonts w:ascii="Avenir Book" w:hAnsi="Avenir Book" w:cs="Calibri"/>
                <w:sz w:val="22"/>
                <w:szCs w:val="22"/>
              </w:rPr>
              <w:t xml:space="preserve">The publication is expected to be based on a combination of desk </w:t>
            </w:r>
            <w:r w:rsidR="006A7EDF">
              <w:rPr>
                <w:rFonts w:ascii="Avenir Book" w:hAnsi="Avenir Book" w:cs="Calibri"/>
                <w:sz w:val="22"/>
                <w:szCs w:val="22"/>
              </w:rPr>
              <w:t xml:space="preserve">review </w:t>
            </w:r>
            <w:r w:rsidRPr="00A53EBD">
              <w:rPr>
                <w:rFonts w:ascii="Avenir Book" w:hAnsi="Avenir Book" w:cs="Calibri"/>
                <w:sz w:val="22"/>
                <w:szCs w:val="22"/>
              </w:rPr>
              <w:t xml:space="preserve">and interviews with SRM professionals, senior leaders in humanitarian and development NGOs, and other relevant stakeholders. The consultant is primarily responsible for scheduling and conducting all relevant interviews. </w:t>
            </w:r>
          </w:p>
          <w:p w14:paraId="34CB3F2C" w14:textId="77777777" w:rsidR="004F033B" w:rsidRPr="00001050" w:rsidRDefault="004F033B" w:rsidP="004E012C">
            <w:pPr>
              <w:rPr>
                <w:rFonts w:ascii="Avenir Book" w:hAnsi="Avenir Book" w:cs="Calibri"/>
                <w:sz w:val="22"/>
                <w:szCs w:val="22"/>
              </w:rPr>
            </w:pPr>
          </w:p>
          <w:p w14:paraId="21B596EE" w14:textId="6C3DC92F" w:rsidR="008E3E30" w:rsidRPr="004F033B" w:rsidRDefault="001F4CFF" w:rsidP="00A4109A">
            <w:pPr>
              <w:pStyle w:val="ListParagraph"/>
              <w:numPr>
                <w:ilvl w:val="0"/>
                <w:numId w:val="36"/>
              </w:numPr>
              <w:jc w:val="both"/>
              <w:rPr>
                <w:rFonts w:ascii="Avenir Book" w:hAnsi="Avenir Book" w:cs="Calibri"/>
                <w:sz w:val="22"/>
                <w:szCs w:val="22"/>
              </w:rPr>
            </w:pPr>
            <w:r w:rsidRPr="00A53EBD">
              <w:rPr>
                <w:rFonts w:ascii="Avenir Book" w:hAnsi="Avenir Book" w:cs="Calibri"/>
                <w:sz w:val="22"/>
                <w:szCs w:val="22"/>
              </w:rPr>
              <w:t xml:space="preserve">A survey can also be used to generate more </w:t>
            </w:r>
            <w:r w:rsidR="00747465">
              <w:rPr>
                <w:rFonts w:ascii="Avenir Book" w:hAnsi="Avenir Book" w:cs="Calibri"/>
                <w:sz w:val="22"/>
                <w:szCs w:val="22"/>
              </w:rPr>
              <w:t xml:space="preserve">primary </w:t>
            </w:r>
            <w:r w:rsidRPr="00A53EBD">
              <w:rPr>
                <w:rFonts w:ascii="Avenir Book" w:hAnsi="Avenir Book" w:cs="Calibri"/>
                <w:sz w:val="22"/>
                <w:szCs w:val="22"/>
              </w:rPr>
              <w:t>data, which GISF can help to disseminate</w:t>
            </w:r>
            <w:r w:rsidR="0067239C">
              <w:rPr>
                <w:rFonts w:ascii="Avenir Book" w:hAnsi="Avenir Book" w:cs="Calibri"/>
                <w:sz w:val="22"/>
                <w:szCs w:val="22"/>
              </w:rPr>
              <w:t xml:space="preserve"> among members</w:t>
            </w:r>
            <w:r w:rsidR="006A7EDF">
              <w:rPr>
                <w:rFonts w:ascii="Avenir Book" w:hAnsi="Avenir Book" w:cs="Calibri"/>
                <w:sz w:val="22"/>
                <w:szCs w:val="22"/>
              </w:rPr>
              <w:t>.</w:t>
            </w:r>
          </w:p>
          <w:p w14:paraId="082D80A1" w14:textId="77777777" w:rsidR="006F13C9" w:rsidRPr="006F13C9" w:rsidRDefault="006F13C9" w:rsidP="00A4109A">
            <w:pPr>
              <w:pStyle w:val="ListParagraph"/>
              <w:jc w:val="both"/>
              <w:rPr>
                <w:rFonts w:cs="Calibri"/>
              </w:rPr>
            </w:pPr>
          </w:p>
          <w:p w14:paraId="781FEA46" w14:textId="327809C0" w:rsidR="006F13C9" w:rsidRPr="006F13C9" w:rsidRDefault="006F13C9" w:rsidP="00A4109A">
            <w:pPr>
              <w:pStyle w:val="ListParagraph"/>
              <w:numPr>
                <w:ilvl w:val="0"/>
                <w:numId w:val="36"/>
              </w:numPr>
              <w:jc w:val="both"/>
              <w:rPr>
                <w:rFonts w:ascii="Avenir Book" w:hAnsi="Avenir Book" w:cstheme="majorHAnsi"/>
                <w:sz w:val="22"/>
                <w:szCs w:val="22"/>
              </w:rPr>
            </w:pPr>
            <w:r w:rsidRPr="004F033B">
              <w:rPr>
                <w:rFonts w:ascii="Avenir Book" w:hAnsi="Avenir Book" w:cs="Calibri"/>
                <w:sz w:val="22"/>
                <w:szCs w:val="22"/>
              </w:rPr>
              <w:t>Identification of existing resources and prioritisation for new sections:</w:t>
            </w:r>
            <w:r>
              <w:rPr>
                <w:rFonts w:ascii="Avenir Book" w:hAnsi="Avenir Book" w:cs="Calibri"/>
                <w:sz w:val="22"/>
                <w:szCs w:val="22"/>
              </w:rPr>
              <w:t xml:space="preserve"> </w:t>
            </w:r>
            <w:r w:rsidRPr="006F13C9">
              <w:rPr>
                <w:rFonts w:ascii="Avenir Book" w:hAnsi="Avenir Book" w:cs="Calibri"/>
                <w:sz w:val="22"/>
                <w:szCs w:val="22"/>
              </w:rPr>
              <w:t>It is recognised that some materials already exist in the GISF library as well as elsewhere</w:t>
            </w:r>
            <w:r w:rsidR="00396A14">
              <w:rPr>
                <w:rFonts w:ascii="Avenir Book" w:hAnsi="Avenir Book" w:cs="Calibri"/>
                <w:sz w:val="22"/>
                <w:szCs w:val="22"/>
              </w:rPr>
              <w:t>,</w:t>
            </w:r>
            <w:r w:rsidRPr="006F13C9">
              <w:rPr>
                <w:rFonts w:ascii="Avenir Book" w:hAnsi="Avenir Book" w:cs="Calibri"/>
                <w:sz w:val="22"/>
                <w:szCs w:val="22"/>
              </w:rPr>
              <w:t xml:space="preserve"> and these should be used to populate the toolkit as far as possible</w:t>
            </w:r>
            <w:r w:rsidR="00AC6B9C">
              <w:rPr>
                <w:rFonts w:ascii="Avenir Book" w:hAnsi="Avenir Book" w:cs="Calibri"/>
                <w:sz w:val="22"/>
                <w:szCs w:val="22"/>
              </w:rPr>
              <w:t xml:space="preserve"> and while updating these</w:t>
            </w:r>
            <w:r w:rsidRPr="006F13C9">
              <w:rPr>
                <w:rFonts w:ascii="Avenir Book" w:hAnsi="Avenir Book" w:cs="Calibri"/>
                <w:sz w:val="22"/>
                <w:szCs w:val="22"/>
              </w:rPr>
              <w:t>. There will be some sections where materials will not exist</w:t>
            </w:r>
            <w:r w:rsidR="00396A14">
              <w:rPr>
                <w:rFonts w:ascii="Avenir Book" w:hAnsi="Avenir Book" w:cs="Calibri"/>
                <w:sz w:val="22"/>
                <w:szCs w:val="22"/>
              </w:rPr>
              <w:t>; the</w:t>
            </w:r>
            <w:r w:rsidRPr="006F13C9">
              <w:rPr>
                <w:rFonts w:ascii="Avenir Book" w:hAnsi="Avenir Book" w:cs="Calibri"/>
                <w:sz w:val="22"/>
                <w:szCs w:val="22"/>
              </w:rPr>
              <w:t xml:space="preserve"> consultant, in cooperation </w:t>
            </w:r>
            <w:r w:rsidRPr="006F13C9">
              <w:rPr>
                <w:rFonts w:ascii="Avenir Book" w:hAnsi="Avenir Book" w:cs="Calibri"/>
                <w:sz w:val="22"/>
                <w:szCs w:val="22"/>
              </w:rPr>
              <w:lastRenderedPageBreak/>
              <w:t xml:space="preserve">with GISF and the working group, will agree </w:t>
            </w:r>
            <w:r w:rsidR="00396A14">
              <w:rPr>
                <w:rFonts w:ascii="Avenir Book" w:hAnsi="Avenir Book" w:cs="Calibri"/>
                <w:sz w:val="22"/>
                <w:szCs w:val="22"/>
              </w:rPr>
              <w:t xml:space="preserve">on </w:t>
            </w:r>
            <w:r w:rsidRPr="006F13C9">
              <w:rPr>
                <w:rFonts w:ascii="Avenir Book" w:hAnsi="Avenir Book" w:cs="Calibri"/>
                <w:sz w:val="22"/>
                <w:szCs w:val="22"/>
              </w:rPr>
              <w:t xml:space="preserve">which of these new </w:t>
            </w:r>
            <w:r w:rsidR="00396A14">
              <w:rPr>
                <w:rFonts w:ascii="Avenir Book" w:hAnsi="Avenir Book" w:cs="Calibri"/>
                <w:sz w:val="22"/>
                <w:szCs w:val="22"/>
              </w:rPr>
              <w:t>modules/sub</w:t>
            </w:r>
            <w:r w:rsidRPr="006F13C9">
              <w:rPr>
                <w:rFonts w:ascii="Avenir Book" w:hAnsi="Avenir Book" w:cs="Calibri"/>
                <w:sz w:val="22"/>
                <w:szCs w:val="22"/>
              </w:rPr>
              <w:t xml:space="preserve"> sections should be completed.</w:t>
            </w:r>
          </w:p>
          <w:p w14:paraId="4B295B01" w14:textId="77777777" w:rsidR="00357A30" w:rsidRPr="00A4109A" w:rsidRDefault="00357A30" w:rsidP="00A4109A">
            <w:pPr>
              <w:rPr>
                <w:rFonts w:ascii="Avenir Book" w:hAnsi="Avenir Book" w:cstheme="majorHAnsi"/>
                <w:sz w:val="22"/>
                <w:szCs w:val="22"/>
              </w:rPr>
            </w:pPr>
          </w:p>
          <w:p w14:paraId="7728EB3B" w14:textId="201DE7F2" w:rsidR="001F4CFF" w:rsidRPr="004F033B" w:rsidRDefault="00A53EBD" w:rsidP="004303FA">
            <w:pPr>
              <w:rPr>
                <w:rFonts w:ascii="Avenir Book" w:hAnsi="Avenir Book" w:cstheme="majorHAnsi"/>
                <w:iCs/>
                <w:sz w:val="22"/>
                <w:szCs w:val="22"/>
              </w:rPr>
            </w:pPr>
            <w:r w:rsidRPr="00001050">
              <w:rPr>
                <w:rFonts w:ascii="Avenir Book" w:hAnsi="Avenir Book" w:cstheme="majorHAnsi"/>
                <w:iCs/>
                <w:sz w:val="22"/>
                <w:szCs w:val="22"/>
              </w:rPr>
              <w:t xml:space="preserve">The consultant will report to the GISF Deputy Director for the Americas. </w:t>
            </w:r>
          </w:p>
        </w:tc>
      </w:tr>
      <w:tr w:rsidR="00817F4A" w:rsidRPr="00001050" w14:paraId="20844099" w14:textId="77777777" w:rsidTr="0012694A">
        <w:trPr>
          <w:trHeight w:val="297"/>
        </w:trPr>
        <w:tc>
          <w:tcPr>
            <w:tcW w:w="1885" w:type="dxa"/>
            <w:tcBorders>
              <w:bottom w:val="single" w:sz="4" w:space="0" w:color="auto"/>
            </w:tcBorders>
            <w:shd w:val="clear" w:color="auto" w:fill="D5DCE4" w:themeFill="text2" w:themeFillTint="33"/>
          </w:tcPr>
          <w:p w14:paraId="7823BF2C" w14:textId="77777777" w:rsidR="00817F4A" w:rsidRPr="00001050" w:rsidRDefault="00817F4A" w:rsidP="00817F4A">
            <w:pPr>
              <w:rPr>
                <w:rFonts w:ascii="Avenir Book" w:hAnsi="Avenir Book" w:cstheme="majorHAnsi"/>
                <w:b/>
                <w:sz w:val="22"/>
                <w:szCs w:val="22"/>
              </w:rPr>
            </w:pPr>
            <w:r w:rsidRPr="00001050">
              <w:rPr>
                <w:rFonts w:ascii="Avenir Book" w:hAnsi="Avenir Book" w:cstheme="majorHAnsi"/>
                <w:b/>
                <w:sz w:val="22"/>
                <w:szCs w:val="22"/>
              </w:rPr>
              <w:lastRenderedPageBreak/>
              <w:t>Location</w:t>
            </w:r>
          </w:p>
        </w:tc>
        <w:tc>
          <w:tcPr>
            <w:tcW w:w="7723" w:type="dxa"/>
          </w:tcPr>
          <w:p w14:paraId="1AEA1069" w14:textId="4F1AB729" w:rsidR="004303FA" w:rsidRPr="00001050" w:rsidRDefault="009E1577" w:rsidP="009E1577">
            <w:pPr>
              <w:rPr>
                <w:rFonts w:ascii="Avenir Book" w:hAnsi="Avenir Book" w:cstheme="majorHAnsi"/>
                <w:sz w:val="22"/>
                <w:szCs w:val="22"/>
              </w:rPr>
            </w:pPr>
            <w:r>
              <w:rPr>
                <w:rFonts w:ascii="Avenir Book" w:hAnsi="Avenir Book" w:cstheme="majorHAnsi"/>
                <w:sz w:val="22"/>
                <w:szCs w:val="22"/>
              </w:rPr>
              <w:t>Remote</w:t>
            </w:r>
          </w:p>
        </w:tc>
      </w:tr>
      <w:tr w:rsidR="00817F4A" w:rsidRPr="00001050" w14:paraId="7385ADA0" w14:textId="77777777" w:rsidTr="0012694A">
        <w:tc>
          <w:tcPr>
            <w:tcW w:w="1885" w:type="dxa"/>
            <w:shd w:val="clear" w:color="auto" w:fill="D5DCE4" w:themeFill="text2" w:themeFillTint="33"/>
          </w:tcPr>
          <w:p w14:paraId="63D388F6" w14:textId="044ABE78" w:rsidR="00817F4A" w:rsidRPr="00747465" w:rsidRDefault="0017567C" w:rsidP="00817F4A">
            <w:pPr>
              <w:rPr>
                <w:rFonts w:ascii="Avenir Book" w:hAnsi="Avenir Book" w:cstheme="majorHAnsi"/>
                <w:b/>
                <w:color w:val="000000" w:themeColor="text1"/>
                <w:sz w:val="22"/>
                <w:szCs w:val="22"/>
              </w:rPr>
            </w:pPr>
            <w:r w:rsidRPr="00747465">
              <w:rPr>
                <w:rFonts w:ascii="Avenir Book" w:hAnsi="Avenir Book" w:cstheme="majorHAnsi"/>
                <w:b/>
                <w:color w:val="000000" w:themeColor="text1"/>
                <w:sz w:val="22"/>
                <w:szCs w:val="22"/>
              </w:rPr>
              <w:t xml:space="preserve">Publication Format and </w:t>
            </w:r>
            <w:r w:rsidR="00817F4A" w:rsidRPr="00747465">
              <w:rPr>
                <w:rFonts w:ascii="Avenir Book" w:hAnsi="Avenir Book" w:cstheme="majorHAnsi"/>
                <w:b/>
                <w:color w:val="000000" w:themeColor="text1"/>
                <w:sz w:val="22"/>
                <w:szCs w:val="22"/>
              </w:rPr>
              <w:t>Style Guidelines</w:t>
            </w:r>
          </w:p>
        </w:tc>
        <w:tc>
          <w:tcPr>
            <w:tcW w:w="7723" w:type="dxa"/>
          </w:tcPr>
          <w:p w14:paraId="6720EE2E" w14:textId="38722911" w:rsidR="0017567C" w:rsidRPr="00747465" w:rsidRDefault="00817F4A" w:rsidP="00747465">
            <w:pPr>
              <w:pStyle w:val="Heading1"/>
              <w:rPr>
                <w:rFonts w:ascii="league_spartanbold" w:hAnsi="league_spartanbold"/>
                <w:color w:val="000000" w:themeColor="text1"/>
                <w:lang w:val="en-US"/>
              </w:rPr>
            </w:pPr>
            <w:bookmarkStart w:id="0" w:name="_MON_1406645421"/>
            <w:bookmarkEnd w:id="0"/>
            <w:r w:rsidRPr="006A7EDF">
              <w:rPr>
                <w:rFonts w:ascii="Avenir Book" w:hAnsi="Avenir Book" w:cstheme="majorHAnsi"/>
                <w:b w:val="0"/>
                <w:bCs w:val="0"/>
                <w:color w:val="000000" w:themeColor="text1"/>
                <w:sz w:val="22"/>
                <w:szCs w:val="22"/>
              </w:rPr>
              <w:t>The publication will be similar in style to the GISF</w:t>
            </w:r>
            <w:r w:rsidRPr="00747465">
              <w:rPr>
                <w:rFonts w:ascii="Avenir Book" w:hAnsi="Avenir Book" w:cstheme="majorHAnsi"/>
                <w:color w:val="000000" w:themeColor="text1"/>
                <w:sz w:val="22"/>
                <w:szCs w:val="22"/>
              </w:rPr>
              <w:t xml:space="preserve"> </w:t>
            </w:r>
            <w:r w:rsidRPr="00747465">
              <w:rPr>
                <w:rFonts w:ascii="Avenir Book" w:eastAsiaTheme="minorEastAsia" w:hAnsi="Avenir Book" w:cstheme="majorHAnsi"/>
                <w:b w:val="0"/>
                <w:bCs w:val="0"/>
                <w:color w:val="000000" w:themeColor="text1"/>
                <w:kern w:val="0"/>
                <w:sz w:val="22"/>
                <w:szCs w:val="22"/>
              </w:rPr>
              <w:t>publicatio</w:t>
            </w:r>
            <w:r w:rsidR="00001050" w:rsidRPr="00747465">
              <w:rPr>
                <w:rFonts w:ascii="Avenir Book" w:eastAsiaTheme="minorEastAsia" w:hAnsi="Avenir Book" w:cstheme="majorHAnsi"/>
                <w:b w:val="0"/>
                <w:bCs w:val="0"/>
                <w:color w:val="000000" w:themeColor="text1"/>
                <w:kern w:val="0"/>
                <w:sz w:val="22"/>
                <w:szCs w:val="22"/>
              </w:rPr>
              <w:t>n</w:t>
            </w:r>
            <w:r w:rsidR="00001050" w:rsidRPr="006A7EDF">
              <w:rPr>
                <w:rFonts w:ascii="Avenir Book" w:eastAsiaTheme="minorEastAsia" w:hAnsi="Avenir Book" w:cstheme="majorHAnsi"/>
                <w:color w:val="000000" w:themeColor="text1"/>
                <w:kern w:val="0"/>
                <w:sz w:val="22"/>
                <w:szCs w:val="22"/>
              </w:rPr>
              <w:t>,</w:t>
            </w:r>
            <w:r w:rsidR="00747465" w:rsidRPr="006A7EDF">
              <w:rPr>
                <w:rFonts w:ascii="Avenir Book" w:eastAsiaTheme="minorEastAsia" w:hAnsi="Avenir Book" w:cstheme="majorHAnsi"/>
                <w:color w:val="000000" w:themeColor="text1"/>
                <w:kern w:val="0"/>
                <w:sz w:val="22"/>
                <w:szCs w:val="22"/>
              </w:rPr>
              <w:t xml:space="preserve"> NGO Security Collaboration Guide</w:t>
            </w:r>
            <w:r w:rsidR="00747465">
              <w:rPr>
                <w:rFonts w:ascii="Avenir Book" w:eastAsiaTheme="minorEastAsia" w:hAnsi="Avenir Book" w:cstheme="majorHAnsi"/>
                <w:b w:val="0"/>
                <w:bCs w:val="0"/>
                <w:color w:val="000000" w:themeColor="text1"/>
                <w:kern w:val="0"/>
                <w:sz w:val="22"/>
                <w:szCs w:val="22"/>
              </w:rPr>
              <w:t xml:space="preserve">, </w:t>
            </w:r>
            <w:hyperlink r:id="rId8" w:history="1">
              <w:r w:rsidR="00747465" w:rsidRPr="00A71E13">
                <w:rPr>
                  <w:rStyle w:val="Hyperlink"/>
                  <w:rFonts w:ascii="Avenir Book" w:eastAsiaTheme="minorEastAsia" w:hAnsi="Avenir Book" w:cstheme="majorHAnsi"/>
                  <w:b w:val="0"/>
                  <w:bCs w:val="0"/>
                  <w:kern w:val="0"/>
                  <w:sz w:val="22"/>
                  <w:szCs w:val="22"/>
                </w:rPr>
                <w:t>https://www.gisf.ngo/long-read/ngo-security-collaboration-guide/</w:t>
              </w:r>
            </w:hyperlink>
            <w:r w:rsidR="00747465">
              <w:rPr>
                <w:rFonts w:ascii="Avenir Book" w:eastAsiaTheme="minorEastAsia" w:hAnsi="Avenir Book" w:cstheme="majorHAnsi"/>
                <w:b w:val="0"/>
                <w:bCs w:val="0"/>
                <w:color w:val="000000" w:themeColor="text1"/>
                <w:kern w:val="0"/>
                <w:sz w:val="22"/>
                <w:szCs w:val="22"/>
              </w:rPr>
              <w:t xml:space="preserve"> </w:t>
            </w:r>
          </w:p>
          <w:p w14:paraId="70E960C4" w14:textId="77777777" w:rsidR="0017567C" w:rsidRPr="00747465" w:rsidRDefault="0017567C" w:rsidP="00357A30">
            <w:pPr>
              <w:spacing w:after="26"/>
              <w:ind w:left="-5" w:hanging="10"/>
              <w:jc w:val="both"/>
              <w:rPr>
                <w:color w:val="000000" w:themeColor="text1"/>
              </w:rPr>
            </w:pPr>
            <w:r w:rsidRPr="00747465">
              <w:rPr>
                <w:rFonts w:ascii="Calibri" w:eastAsia="Calibri" w:hAnsi="Calibri" w:cs="Calibri"/>
                <w:i/>
                <w:color w:val="000000" w:themeColor="text1"/>
              </w:rPr>
              <w:t xml:space="preserve">Publication format:  </w:t>
            </w:r>
          </w:p>
          <w:p w14:paraId="31D2BD6B" w14:textId="54542CA7" w:rsidR="0017567C" w:rsidRPr="00747465" w:rsidRDefault="0017567C" w:rsidP="00357A30">
            <w:pPr>
              <w:pStyle w:val="ListParagraph"/>
              <w:numPr>
                <w:ilvl w:val="0"/>
                <w:numId w:val="37"/>
              </w:numPr>
              <w:spacing w:after="41" w:line="248" w:lineRule="auto"/>
              <w:ind w:right="2"/>
              <w:jc w:val="both"/>
              <w:rPr>
                <w:rFonts w:ascii="Avenir Book" w:hAnsi="Avenir Book" w:cstheme="majorHAnsi"/>
                <w:color w:val="000000" w:themeColor="text1"/>
                <w:sz w:val="22"/>
                <w:szCs w:val="22"/>
              </w:rPr>
            </w:pPr>
            <w:r w:rsidRPr="00747465">
              <w:rPr>
                <w:rFonts w:ascii="Avenir Book" w:hAnsi="Avenir Book" w:cstheme="majorHAnsi"/>
                <w:color w:val="000000" w:themeColor="text1"/>
                <w:sz w:val="22"/>
                <w:szCs w:val="22"/>
              </w:rPr>
              <w:t>The publication will be composed of multiple modules, with each module focusing on specific elements as identified in Annex I</w:t>
            </w:r>
          </w:p>
          <w:p w14:paraId="6778AEB0" w14:textId="77777777" w:rsidR="00AC6B9C" w:rsidRPr="00747465" w:rsidRDefault="0017567C" w:rsidP="00357A30">
            <w:pPr>
              <w:pStyle w:val="ListParagraph"/>
              <w:numPr>
                <w:ilvl w:val="0"/>
                <w:numId w:val="37"/>
              </w:numPr>
              <w:spacing w:after="41" w:line="248" w:lineRule="auto"/>
              <w:ind w:right="2"/>
              <w:jc w:val="both"/>
              <w:rPr>
                <w:rFonts w:ascii="Avenir Book" w:hAnsi="Avenir Book" w:cstheme="majorHAnsi"/>
                <w:color w:val="000000" w:themeColor="text1"/>
                <w:sz w:val="22"/>
                <w:szCs w:val="22"/>
              </w:rPr>
            </w:pPr>
            <w:r w:rsidRPr="00747465">
              <w:rPr>
                <w:rFonts w:ascii="Avenir Book" w:hAnsi="Avenir Book" w:cstheme="majorHAnsi"/>
                <w:color w:val="000000" w:themeColor="text1"/>
                <w:sz w:val="22"/>
                <w:szCs w:val="22"/>
              </w:rPr>
              <w:t>The modules will fit together appropriately and coherently to create a comprehensive guide</w:t>
            </w:r>
            <w:r w:rsidR="00AC6B9C" w:rsidRPr="00747465">
              <w:rPr>
                <w:rFonts w:ascii="Avenir Book" w:hAnsi="Avenir Book" w:cstheme="majorHAnsi"/>
                <w:color w:val="000000" w:themeColor="text1"/>
                <w:sz w:val="22"/>
                <w:szCs w:val="22"/>
              </w:rPr>
              <w:t>.</w:t>
            </w:r>
          </w:p>
          <w:p w14:paraId="3D2586F2" w14:textId="490532BF" w:rsidR="0017567C" w:rsidRPr="00747465" w:rsidRDefault="0017567C" w:rsidP="00357A30">
            <w:pPr>
              <w:pStyle w:val="ListParagraph"/>
              <w:numPr>
                <w:ilvl w:val="0"/>
                <w:numId w:val="37"/>
              </w:numPr>
              <w:spacing w:after="41" w:line="248" w:lineRule="auto"/>
              <w:ind w:right="2"/>
              <w:jc w:val="both"/>
              <w:rPr>
                <w:rFonts w:ascii="Avenir Book" w:hAnsi="Avenir Book" w:cstheme="majorHAnsi"/>
                <w:color w:val="000000" w:themeColor="text1"/>
                <w:sz w:val="22"/>
                <w:szCs w:val="22"/>
              </w:rPr>
            </w:pPr>
            <w:r w:rsidRPr="00747465">
              <w:rPr>
                <w:rFonts w:ascii="Avenir Book" w:hAnsi="Avenir Book" w:cstheme="majorHAnsi"/>
                <w:color w:val="000000" w:themeColor="text1"/>
                <w:sz w:val="22"/>
                <w:szCs w:val="22"/>
              </w:rPr>
              <w:t>The product should be easy to understand for staff from different backgrounds and those unfamiliar with technical SRM terms</w:t>
            </w:r>
          </w:p>
          <w:p w14:paraId="66FE8E09" w14:textId="77777777" w:rsidR="00817F4A" w:rsidRPr="00747465" w:rsidRDefault="00817F4A" w:rsidP="00357A30">
            <w:pPr>
              <w:jc w:val="both"/>
              <w:rPr>
                <w:rFonts w:ascii="Avenir Book" w:hAnsi="Avenir Book" w:cstheme="majorHAnsi"/>
                <w:color w:val="000000" w:themeColor="text1"/>
                <w:sz w:val="22"/>
                <w:szCs w:val="22"/>
              </w:rPr>
            </w:pPr>
          </w:p>
          <w:p w14:paraId="2B4AE6D1" w14:textId="30768642" w:rsidR="00AC6B9C" w:rsidRPr="00747465" w:rsidRDefault="00817F4A" w:rsidP="00357A30">
            <w:pPr>
              <w:jc w:val="both"/>
              <w:rPr>
                <w:rFonts w:ascii="Avenir Book" w:hAnsi="Avenir Book" w:cstheme="majorHAnsi"/>
                <w:color w:val="000000" w:themeColor="text1"/>
                <w:sz w:val="22"/>
                <w:szCs w:val="22"/>
              </w:rPr>
            </w:pPr>
            <w:r w:rsidRPr="00747465">
              <w:rPr>
                <w:rFonts w:ascii="Avenir Book" w:hAnsi="Avenir Book" w:cstheme="majorHAnsi"/>
                <w:color w:val="000000" w:themeColor="text1"/>
                <w:sz w:val="22"/>
                <w:szCs w:val="22"/>
              </w:rPr>
              <w:t>As GISF engages with a diverse audience, the language of the publication should be easily understandable and visually appealing. The publication should also follow GISF’s style guide</w:t>
            </w:r>
            <w:r w:rsidR="00001050" w:rsidRPr="00747465">
              <w:rPr>
                <w:rFonts w:ascii="Avenir Book" w:hAnsi="Avenir Book" w:cstheme="majorHAnsi"/>
                <w:color w:val="000000" w:themeColor="text1"/>
                <w:sz w:val="22"/>
                <w:szCs w:val="22"/>
              </w:rPr>
              <w:t>.</w:t>
            </w:r>
            <w:r w:rsidRPr="00747465">
              <w:rPr>
                <w:rFonts w:ascii="Avenir Book" w:hAnsi="Avenir Book" w:cstheme="majorHAnsi"/>
                <w:color w:val="000000" w:themeColor="text1"/>
                <w:sz w:val="22"/>
                <w:szCs w:val="22"/>
              </w:rPr>
              <w:t xml:space="preserve"> </w:t>
            </w:r>
          </w:p>
        </w:tc>
      </w:tr>
      <w:tr w:rsidR="00817F4A" w:rsidRPr="00001050" w14:paraId="6A83D35D" w14:textId="77777777" w:rsidTr="0012694A">
        <w:tc>
          <w:tcPr>
            <w:tcW w:w="1885" w:type="dxa"/>
            <w:shd w:val="clear" w:color="auto" w:fill="D5DCE4" w:themeFill="text2" w:themeFillTint="33"/>
          </w:tcPr>
          <w:p w14:paraId="6A62BAD3" w14:textId="77777777" w:rsidR="00817F4A" w:rsidRPr="00001050" w:rsidRDefault="00817F4A" w:rsidP="00817F4A">
            <w:pPr>
              <w:rPr>
                <w:rFonts w:ascii="Avenir Book" w:hAnsi="Avenir Book" w:cstheme="majorHAnsi"/>
                <w:b/>
                <w:sz w:val="22"/>
                <w:szCs w:val="22"/>
              </w:rPr>
            </w:pPr>
            <w:r w:rsidRPr="00001050">
              <w:rPr>
                <w:rFonts w:ascii="Avenir Book" w:hAnsi="Avenir Book" w:cstheme="majorHAnsi"/>
                <w:b/>
                <w:sz w:val="22"/>
                <w:szCs w:val="22"/>
              </w:rPr>
              <w:t>Reference documents</w:t>
            </w:r>
          </w:p>
        </w:tc>
        <w:tc>
          <w:tcPr>
            <w:tcW w:w="7723" w:type="dxa"/>
          </w:tcPr>
          <w:p w14:paraId="68A6197A" w14:textId="77777777" w:rsidR="00817F4A" w:rsidRPr="00001050" w:rsidRDefault="00817F4A" w:rsidP="00817F4A">
            <w:pPr>
              <w:rPr>
                <w:rFonts w:ascii="Avenir Book" w:hAnsi="Avenir Book" w:cstheme="majorHAnsi"/>
                <w:sz w:val="22"/>
                <w:szCs w:val="22"/>
              </w:rPr>
            </w:pPr>
            <w:r w:rsidRPr="00001050">
              <w:rPr>
                <w:rFonts w:ascii="Avenir Book" w:hAnsi="Avenir Book" w:cstheme="majorHAnsi"/>
                <w:sz w:val="22"/>
                <w:szCs w:val="22"/>
              </w:rPr>
              <w:t xml:space="preserve">Achieving Safe Operations through Acceptance </w:t>
            </w:r>
          </w:p>
          <w:p w14:paraId="472C3B94" w14:textId="77777777" w:rsidR="00817F4A" w:rsidRPr="00001050" w:rsidRDefault="00817F4A" w:rsidP="00817F4A">
            <w:pPr>
              <w:rPr>
                <w:rFonts w:ascii="Avenir Book" w:hAnsi="Avenir Book" w:cstheme="majorHAnsi"/>
                <w:sz w:val="22"/>
                <w:szCs w:val="22"/>
              </w:rPr>
            </w:pPr>
            <w:r w:rsidRPr="00001050">
              <w:rPr>
                <w:rFonts w:ascii="Avenir Book" w:hAnsi="Avenir Book" w:cstheme="majorHAnsi"/>
                <w:sz w:val="22"/>
                <w:szCs w:val="22"/>
              </w:rPr>
              <w:t>GISF Security Toolbox</w:t>
            </w:r>
          </w:p>
          <w:p w14:paraId="3B16889D" w14:textId="53D7F7AA" w:rsidR="00817F4A" w:rsidRPr="00001050" w:rsidRDefault="00817F4A" w:rsidP="00817F4A">
            <w:pPr>
              <w:rPr>
                <w:rFonts w:ascii="Avenir Book" w:hAnsi="Avenir Book" w:cstheme="majorHAnsi"/>
                <w:sz w:val="22"/>
                <w:szCs w:val="22"/>
              </w:rPr>
            </w:pPr>
            <w:r w:rsidRPr="00001050">
              <w:rPr>
                <w:rFonts w:ascii="Avenir Book" w:hAnsi="Avenir Book" w:cstheme="majorHAnsi"/>
                <w:sz w:val="22"/>
                <w:szCs w:val="22"/>
              </w:rPr>
              <w:t xml:space="preserve">GISF Style Guide </w:t>
            </w:r>
          </w:p>
        </w:tc>
      </w:tr>
      <w:tr w:rsidR="0017567C" w:rsidRPr="00001050" w14:paraId="686C9777" w14:textId="77777777" w:rsidTr="0012694A">
        <w:tc>
          <w:tcPr>
            <w:tcW w:w="1885" w:type="dxa"/>
            <w:shd w:val="clear" w:color="auto" w:fill="D5DCE4" w:themeFill="text2" w:themeFillTint="33"/>
          </w:tcPr>
          <w:p w14:paraId="4CADE680" w14:textId="0C91F3B1" w:rsidR="0017567C" w:rsidRPr="0017567C" w:rsidRDefault="0017567C" w:rsidP="0017567C">
            <w:pPr>
              <w:rPr>
                <w:rFonts w:ascii="Avenir Book" w:hAnsi="Avenir Book" w:cstheme="majorHAnsi"/>
                <w:b/>
                <w:bCs/>
                <w:sz w:val="22"/>
                <w:szCs w:val="22"/>
              </w:rPr>
            </w:pPr>
            <w:r w:rsidRPr="0017567C">
              <w:rPr>
                <w:rFonts w:ascii="Calibri" w:eastAsia="Calibri" w:hAnsi="Calibri" w:cs="Calibri"/>
                <w:b/>
                <w:bCs/>
              </w:rPr>
              <w:t>Timelines/ deliverables</w:t>
            </w:r>
          </w:p>
        </w:tc>
        <w:tc>
          <w:tcPr>
            <w:tcW w:w="7723" w:type="dxa"/>
          </w:tcPr>
          <w:p w14:paraId="42471A89" w14:textId="04499FCF" w:rsidR="00DA3551" w:rsidRPr="00AC6B9C" w:rsidRDefault="0017567C" w:rsidP="0017567C">
            <w:pPr>
              <w:spacing w:after="5" w:line="248" w:lineRule="auto"/>
              <w:ind w:left="10" w:right="11" w:hanging="10"/>
              <w:jc w:val="both"/>
              <w:rPr>
                <w:rFonts w:ascii="Avenir Book" w:hAnsi="Avenir Book" w:cstheme="majorHAnsi"/>
                <w:sz w:val="22"/>
                <w:szCs w:val="22"/>
              </w:rPr>
            </w:pPr>
            <w:r w:rsidRPr="00AC6B9C">
              <w:rPr>
                <w:rFonts w:ascii="Avenir Book" w:hAnsi="Avenir Book" w:cstheme="majorHAnsi"/>
                <w:sz w:val="22"/>
                <w:szCs w:val="22"/>
              </w:rPr>
              <w:t xml:space="preserve"> This </w:t>
            </w:r>
            <w:r w:rsidR="009741D1">
              <w:rPr>
                <w:rFonts w:ascii="Avenir Book" w:hAnsi="Avenir Book" w:cstheme="majorHAnsi"/>
                <w:sz w:val="22"/>
                <w:szCs w:val="22"/>
              </w:rPr>
              <w:t xml:space="preserve">service </w:t>
            </w:r>
            <w:r w:rsidRPr="00AC6B9C">
              <w:rPr>
                <w:rFonts w:ascii="Avenir Book" w:hAnsi="Avenir Book" w:cstheme="majorHAnsi"/>
                <w:sz w:val="22"/>
                <w:szCs w:val="22"/>
              </w:rPr>
              <w:t xml:space="preserve">contract is expected to run between </w:t>
            </w:r>
            <w:r w:rsidRPr="006A7EDF">
              <w:rPr>
                <w:rFonts w:ascii="Avenir Book" w:hAnsi="Avenir Book" w:cstheme="majorHAnsi"/>
                <w:b/>
                <w:bCs/>
                <w:sz w:val="22"/>
                <w:szCs w:val="22"/>
              </w:rPr>
              <w:t xml:space="preserve">March </w:t>
            </w:r>
            <w:r w:rsidR="009C5C72" w:rsidRPr="006A7EDF">
              <w:rPr>
                <w:rFonts w:ascii="Avenir Book" w:hAnsi="Avenir Book" w:cstheme="majorHAnsi"/>
                <w:b/>
                <w:bCs/>
                <w:sz w:val="22"/>
                <w:szCs w:val="22"/>
              </w:rPr>
              <w:t>13</w:t>
            </w:r>
            <w:r w:rsidR="009C5C72" w:rsidRPr="006A7EDF">
              <w:rPr>
                <w:rFonts w:ascii="Avenir Book" w:hAnsi="Avenir Book" w:cstheme="majorHAnsi"/>
                <w:b/>
                <w:bCs/>
                <w:sz w:val="22"/>
                <w:szCs w:val="22"/>
                <w:vertAlign w:val="superscript"/>
              </w:rPr>
              <w:t>th</w:t>
            </w:r>
            <w:r w:rsidRPr="006A7EDF">
              <w:rPr>
                <w:rFonts w:ascii="Avenir Book" w:hAnsi="Avenir Book" w:cstheme="majorHAnsi"/>
                <w:b/>
                <w:bCs/>
                <w:sz w:val="22"/>
                <w:szCs w:val="22"/>
              </w:rPr>
              <w:t xml:space="preserve"> and Ju</w:t>
            </w:r>
            <w:r w:rsidR="009C5C72" w:rsidRPr="006A7EDF">
              <w:rPr>
                <w:rFonts w:ascii="Avenir Book" w:hAnsi="Avenir Book" w:cstheme="majorHAnsi"/>
                <w:b/>
                <w:bCs/>
                <w:sz w:val="22"/>
                <w:szCs w:val="22"/>
              </w:rPr>
              <w:t>ly</w:t>
            </w:r>
            <w:r w:rsidRPr="006A7EDF">
              <w:rPr>
                <w:rFonts w:ascii="Avenir Book" w:hAnsi="Avenir Book" w:cstheme="majorHAnsi"/>
                <w:b/>
                <w:bCs/>
                <w:sz w:val="22"/>
                <w:szCs w:val="22"/>
              </w:rPr>
              <w:t xml:space="preserve"> 30th</w:t>
            </w:r>
            <w:r w:rsidR="00AC6B9C" w:rsidRPr="006A7EDF">
              <w:rPr>
                <w:rFonts w:ascii="Avenir Book" w:hAnsi="Avenir Book" w:cstheme="majorHAnsi"/>
                <w:b/>
                <w:bCs/>
                <w:sz w:val="22"/>
                <w:szCs w:val="22"/>
              </w:rPr>
              <w:t xml:space="preserve">, 2023. </w:t>
            </w:r>
            <w:r w:rsidR="00AC6B9C" w:rsidRPr="00BC44AD">
              <w:rPr>
                <w:rFonts w:ascii="Avenir Book" w:hAnsi="Avenir Book" w:cstheme="majorHAnsi"/>
                <w:sz w:val="22"/>
                <w:szCs w:val="22"/>
              </w:rPr>
              <w:t xml:space="preserve">The </w:t>
            </w:r>
            <w:r w:rsidR="00AC6B9C">
              <w:rPr>
                <w:rFonts w:ascii="Avenir Book" w:hAnsi="Avenir Book" w:cstheme="majorHAnsi"/>
                <w:sz w:val="22"/>
                <w:szCs w:val="22"/>
              </w:rPr>
              <w:t>deliverables include:</w:t>
            </w:r>
            <w:r w:rsidRPr="00AC6B9C">
              <w:rPr>
                <w:rFonts w:ascii="Avenir Book" w:hAnsi="Avenir Book" w:cstheme="majorHAnsi"/>
                <w:sz w:val="22"/>
                <w:szCs w:val="22"/>
              </w:rPr>
              <w:t xml:space="preserve"> </w:t>
            </w:r>
          </w:p>
          <w:p w14:paraId="6D722CD0" w14:textId="421AD920" w:rsidR="00DA3551" w:rsidRPr="00AC6B9C" w:rsidRDefault="00DA3551" w:rsidP="00DA3551">
            <w:pPr>
              <w:pStyle w:val="ListParagraph"/>
              <w:numPr>
                <w:ilvl w:val="0"/>
                <w:numId w:val="47"/>
              </w:numPr>
              <w:rPr>
                <w:rFonts w:ascii="Avenir Book" w:hAnsi="Avenir Book" w:cstheme="majorHAnsi"/>
                <w:sz w:val="22"/>
                <w:szCs w:val="22"/>
              </w:rPr>
            </w:pPr>
            <w:r w:rsidRPr="00AC6B9C">
              <w:rPr>
                <w:rFonts w:ascii="Avenir Book" w:hAnsi="Avenir Book" w:cstheme="majorHAnsi"/>
                <w:sz w:val="22"/>
                <w:szCs w:val="22"/>
              </w:rPr>
              <w:t>An inception report within the first two weeks</w:t>
            </w:r>
            <w:r w:rsidR="006F13C9" w:rsidRPr="00AC6B9C">
              <w:rPr>
                <w:rFonts w:ascii="Avenir Book" w:hAnsi="Avenir Book" w:cstheme="majorHAnsi"/>
                <w:sz w:val="22"/>
                <w:szCs w:val="22"/>
              </w:rPr>
              <w:t xml:space="preserve">: </w:t>
            </w:r>
            <w:r w:rsidRPr="00AC6B9C">
              <w:rPr>
                <w:rFonts w:ascii="Avenir Book" w:hAnsi="Avenir Book" w:cstheme="majorHAnsi"/>
                <w:sz w:val="22"/>
                <w:szCs w:val="22"/>
              </w:rPr>
              <w:t>Work plan, timelines, and methodology</w:t>
            </w:r>
            <w:r w:rsidR="00396A14">
              <w:rPr>
                <w:rFonts w:ascii="Avenir Book" w:hAnsi="Avenir Book" w:cstheme="majorHAnsi"/>
                <w:sz w:val="22"/>
                <w:szCs w:val="22"/>
              </w:rPr>
              <w:t>,</w:t>
            </w:r>
            <w:r w:rsidRPr="00AC6B9C">
              <w:rPr>
                <w:rFonts w:ascii="Avenir Book" w:hAnsi="Avenir Book" w:cstheme="majorHAnsi"/>
                <w:sz w:val="22"/>
                <w:szCs w:val="22"/>
              </w:rPr>
              <w:t xml:space="preserve"> including expected milestone dates and points of input and review from the working group)</w:t>
            </w:r>
          </w:p>
          <w:p w14:paraId="73DE5D3A" w14:textId="2722BB87" w:rsidR="00DA3551" w:rsidRPr="00AC6B9C" w:rsidRDefault="00396A14" w:rsidP="00DA3551">
            <w:pPr>
              <w:pStyle w:val="ListParagraph"/>
              <w:numPr>
                <w:ilvl w:val="0"/>
                <w:numId w:val="32"/>
              </w:numPr>
              <w:spacing w:before="40" w:after="20"/>
              <w:jc w:val="both"/>
              <w:rPr>
                <w:rFonts w:ascii="Avenir Book" w:hAnsi="Avenir Book" w:cstheme="majorHAnsi"/>
                <w:sz w:val="22"/>
                <w:szCs w:val="22"/>
              </w:rPr>
            </w:pPr>
            <w:r>
              <w:rPr>
                <w:rFonts w:ascii="Avenir Book" w:hAnsi="Avenir Book" w:cstheme="majorHAnsi"/>
                <w:sz w:val="22"/>
                <w:szCs w:val="22"/>
              </w:rPr>
              <w:t>The draft</w:t>
            </w:r>
            <w:r w:rsidR="00DA3551" w:rsidRPr="00AC6B9C">
              <w:rPr>
                <w:rFonts w:ascii="Avenir Book" w:hAnsi="Avenir Book" w:cstheme="majorHAnsi"/>
                <w:sz w:val="22"/>
                <w:szCs w:val="22"/>
              </w:rPr>
              <w:t xml:space="preserve"> </w:t>
            </w:r>
            <w:r w:rsidR="006F13C9" w:rsidRPr="00AC6B9C">
              <w:rPr>
                <w:rFonts w:ascii="Avenir Book" w:hAnsi="Avenir Book" w:cstheme="majorHAnsi"/>
                <w:sz w:val="22"/>
                <w:szCs w:val="22"/>
              </w:rPr>
              <w:t xml:space="preserve">I: </w:t>
            </w:r>
            <w:r w:rsidR="00DA3551" w:rsidRPr="00AC6B9C">
              <w:rPr>
                <w:rFonts w:ascii="Avenir Book" w:hAnsi="Avenir Book" w:cstheme="majorHAnsi"/>
                <w:sz w:val="22"/>
                <w:szCs w:val="22"/>
              </w:rPr>
              <w:t>The topics and thematic areas</w:t>
            </w:r>
            <w:r w:rsidR="006F13C9" w:rsidRPr="00AC6B9C">
              <w:rPr>
                <w:rFonts w:ascii="Avenir Book" w:hAnsi="Avenir Book" w:cstheme="majorHAnsi"/>
                <w:sz w:val="22"/>
                <w:szCs w:val="22"/>
              </w:rPr>
              <w:t xml:space="preserve"> (Annex I)</w:t>
            </w:r>
            <w:r w:rsidR="00DA3551" w:rsidRPr="00AC6B9C">
              <w:rPr>
                <w:rFonts w:ascii="Avenir Book" w:hAnsi="Avenir Book" w:cstheme="majorHAnsi"/>
                <w:sz w:val="22"/>
                <w:szCs w:val="22"/>
              </w:rPr>
              <w:t xml:space="preserve"> are only</w:t>
            </w:r>
            <w:r w:rsidR="006F13C9" w:rsidRPr="00AC6B9C">
              <w:rPr>
                <w:rFonts w:ascii="Avenir Book" w:hAnsi="Avenir Book" w:cstheme="majorHAnsi"/>
                <w:sz w:val="22"/>
                <w:szCs w:val="22"/>
              </w:rPr>
              <w:t xml:space="preserve"> indicative</w:t>
            </w:r>
            <w:r w:rsidR="00DA3551" w:rsidRPr="00AC6B9C">
              <w:rPr>
                <w:rFonts w:ascii="Avenir Book" w:hAnsi="Avenir Book" w:cstheme="majorHAnsi"/>
                <w:sz w:val="22"/>
                <w:szCs w:val="22"/>
              </w:rPr>
              <w:t>. Based on a desktop review of existing resources and initial discussions</w:t>
            </w:r>
            <w:r w:rsidR="006F13C9" w:rsidRPr="00AC6B9C">
              <w:rPr>
                <w:rFonts w:ascii="Avenir Book" w:hAnsi="Avenir Book" w:cstheme="majorHAnsi"/>
                <w:sz w:val="22"/>
                <w:szCs w:val="22"/>
              </w:rPr>
              <w:t xml:space="preserve"> with GISF and the </w:t>
            </w:r>
            <w:r w:rsidR="00357A30">
              <w:rPr>
                <w:rFonts w:ascii="Avenir Book" w:hAnsi="Avenir Book" w:cstheme="majorHAnsi"/>
                <w:sz w:val="22"/>
                <w:szCs w:val="22"/>
              </w:rPr>
              <w:t>W</w:t>
            </w:r>
            <w:r w:rsidR="006F13C9" w:rsidRPr="00AC6B9C">
              <w:rPr>
                <w:rFonts w:ascii="Avenir Book" w:hAnsi="Avenir Book" w:cstheme="majorHAnsi"/>
                <w:sz w:val="22"/>
                <w:szCs w:val="22"/>
              </w:rPr>
              <w:t xml:space="preserve">orking </w:t>
            </w:r>
            <w:r w:rsidR="00357A30">
              <w:rPr>
                <w:rFonts w:ascii="Avenir Book" w:hAnsi="Avenir Book" w:cstheme="majorHAnsi"/>
                <w:sz w:val="22"/>
                <w:szCs w:val="22"/>
              </w:rPr>
              <w:t>G</w:t>
            </w:r>
            <w:r w:rsidR="006F13C9" w:rsidRPr="00AC6B9C">
              <w:rPr>
                <w:rFonts w:ascii="Avenir Book" w:hAnsi="Avenir Book" w:cstheme="majorHAnsi"/>
                <w:sz w:val="22"/>
                <w:szCs w:val="22"/>
              </w:rPr>
              <w:t>roup</w:t>
            </w:r>
            <w:r w:rsidR="00DA3551" w:rsidRPr="00AC6B9C">
              <w:rPr>
                <w:rFonts w:ascii="Avenir Book" w:hAnsi="Avenir Book" w:cstheme="majorHAnsi"/>
                <w:sz w:val="22"/>
                <w:szCs w:val="22"/>
              </w:rPr>
              <w:t>, the consultant will provide a draft structure (draft I) for the tool</w:t>
            </w:r>
            <w:r w:rsidR="00AC6B9C">
              <w:rPr>
                <w:rFonts w:ascii="Avenir Book" w:hAnsi="Avenir Book" w:cstheme="majorHAnsi"/>
                <w:sz w:val="22"/>
                <w:szCs w:val="22"/>
              </w:rPr>
              <w:t>kit</w:t>
            </w:r>
            <w:r w:rsidR="00DA3551" w:rsidRPr="00AC6B9C">
              <w:rPr>
                <w:rFonts w:ascii="Avenir Book" w:hAnsi="Avenir Book" w:cstheme="majorHAnsi"/>
                <w:sz w:val="22"/>
                <w:szCs w:val="22"/>
              </w:rPr>
              <w:t xml:space="preserve"> identifying thematic modules and sub-sections (considering the various target audiences). This toolkit structure will be reviewed and agreed </w:t>
            </w:r>
            <w:r>
              <w:rPr>
                <w:rFonts w:ascii="Avenir Book" w:hAnsi="Avenir Book" w:cstheme="majorHAnsi"/>
                <w:sz w:val="22"/>
                <w:szCs w:val="22"/>
              </w:rPr>
              <w:t xml:space="preserve">upon </w:t>
            </w:r>
            <w:r w:rsidR="00DA3551" w:rsidRPr="00AC6B9C">
              <w:rPr>
                <w:rFonts w:ascii="Avenir Book" w:hAnsi="Avenir Book" w:cstheme="majorHAnsi"/>
                <w:sz w:val="22"/>
                <w:szCs w:val="22"/>
              </w:rPr>
              <w:t xml:space="preserve">with the </w:t>
            </w:r>
            <w:r w:rsidR="00357A30">
              <w:rPr>
                <w:rFonts w:ascii="Avenir Book" w:hAnsi="Avenir Book" w:cstheme="majorHAnsi"/>
                <w:sz w:val="22"/>
                <w:szCs w:val="22"/>
              </w:rPr>
              <w:t>W</w:t>
            </w:r>
            <w:r w:rsidR="00DA3551" w:rsidRPr="00AC6B9C">
              <w:rPr>
                <w:rFonts w:ascii="Avenir Book" w:hAnsi="Avenir Book" w:cstheme="majorHAnsi"/>
                <w:sz w:val="22"/>
                <w:szCs w:val="22"/>
              </w:rPr>
              <w:t xml:space="preserve">orking </w:t>
            </w:r>
            <w:r w:rsidR="00357A30">
              <w:rPr>
                <w:rFonts w:ascii="Avenir Book" w:hAnsi="Avenir Book" w:cstheme="majorHAnsi"/>
                <w:sz w:val="22"/>
                <w:szCs w:val="22"/>
              </w:rPr>
              <w:t>G</w:t>
            </w:r>
            <w:r w:rsidR="00DA3551" w:rsidRPr="00AC6B9C">
              <w:rPr>
                <w:rFonts w:ascii="Avenir Book" w:hAnsi="Avenir Book" w:cstheme="majorHAnsi"/>
                <w:sz w:val="22"/>
                <w:szCs w:val="22"/>
              </w:rPr>
              <w:t>roup.</w:t>
            </w:r>
          </w:p>
          <w:p w14:paraId="18588AE6" w14:textId="7A80F784" w:rsidR="0017567C" w:rsidRPr="00AC6B9C" w:rsidRDefault="006F13C9" w:rsidP="006F13C9">
            <w:pPr>
              <w:pStyle w:val="ListParagraph"/>
              <w:numPr>
                <w:ilvl w:val="0"/>
                <w:numId w:val="46"/>
              </w:numPr>
              <w:spacing w:after="5" w:line="248" w:lineRule="auto"/>
              <w:ind w:right="11"/>
              <w:jc w:val="both"/>
              <w:rPr>
                <w:rFonts w:ascii="Avenir Book" w:hAnsi="Avenir Book" w:cstheme="majorHAnsi"/>
                <w:sz w:val="22"/>
                <w:szCs w:val="22"/>
              </w:rPr>
            </w:pPr>
            <w:r w:rsidRPr="00AC6B9C">
              <w:rPr>
                <w:rFonts w:ascii="Avenir Book" w:hAnsi="Avenir Book" w:cstheme="majorHAnsi"/>
                <w:sz w:val="22"/>
                <w:szCs w:val="22"/>
              </w:rPr>
              <w:t xml:space="preserve">Draft II: Prefinal document </w:t>
            </w:r>
            <w:r w:rsidR="00A4109A">
              <w:rPr>
                <w:rFonts w:ascii="Avenir Book" w:hAnsi="Avenir Book" w:cstheme="majorHAnsi"/>
                <w:sz w:val="22"/>
                <w:szCs w:val="22"/>
              </w:rPr>
              <w:t xml:space="preserve">and associated tools </w:t>
            </w:r>
            <w:r w:rsidRPr="00AC6B9C">
              <w:rPr>
                <w:rFonts w:ascii="Avenir Book" w:hAnsi="Avenir Book" w:cstheme="majorHAnsi"/>
                <w:sz w:val="22"/>
                <w:szCs w:val="22"/>
              </w:rPr>
              <w:t>based on the content of the literature review, the survey results, interviews and KIIs</w:t>
            </w:r>
            <w:r w:rsidR="00396A14">
              <w:rPr>
                <w:rFonts w:ascii="Avenir Book" w:hAnsi="Avenir Book" w:cstheme="majorHAnsi"/>
                <w:sz w:val="22"/>
                <w:szCs w:val="22"/>
              </w:rPr>
              <w:t>,</w:t>
            </w:r>
            <w:r w:rsidRPr="00AC6B9C">
              <w:rPr>
                <w:rFonts w:ascii="Avenir Book" w:hAnsi="Avenir Book" w:cstheme="majorHAnsi"/>
                <w:sz w:val="22"/>
                <w:szCs w:val="22"/>
              </w:rPr>
              <w:t xml:space="preserve"> </w:t>
            </w:r>
            <w:r w:rsidR="0017567C" w:rsidRPr="00AC6B9C">
              <w:rPr>
                <w:rFonts w:ascii="Avenir Book" w:hAnsi="Avenir Book" w:cstheme="majorHAnsi"/>
                <w:sz w:val="22"/>
                <w:szCs w:val="22"/>
              </w:rPr>
              <w:t xml:space="preserve">and feedback from GISF and the </w:t>
            </w:r>
            <w:r w:rsidR="00AC6B9C">
              <w:rPr>
                <w:rFonts w:ascii="Avenir Book" w:hAnsi="Avenir Book" w:cstheme="majorHAnsi"/>
                <w:sz w:val="22"/>
                <w:szCs w:val="22"/>
              </w:rPr>
              <w:t>w</w:t>
            </w:r>
            <w:r w:rsidR="0017567C" w:rsidRPr="00AC6B9C">
              <w:rPr>
                <w:rFonts w:ascii="Avenir Book" w:hAnsi="Avenir Book" w:cstheme="majorHAnsi"/>
                <w:sz w:val="22"/>
                <w:szCs w:val="22"/>
              </w:rPr>
              <w:t xml:space="preserve">orking </w:t>
            </w:r>
            <w:r w:rsidR="00AC6B9C">
              <w:rPr>
                <w:rFonts w:ascii="Avenir Book" w:hAnsi="Avenir Book" w:cstheme="majorHAnsi"/>
                <w:sz w:val="22"/>
                <w:szCs w:val="22"/>
              </w:rPr>
              <w:t>g</w:t>
            </w:r>
            <w:r w:rsidR="0017567C" w:rsidRPr="00AC6B9C">
              <w:rPr>
                <w:rFonts w:ascii="Avenir Book" w:hAnsi="Avenir Book" w:cstheme="majorHAnsi"/>
                <w:sz w:val="22"/>
                <w:szCs w:val="22"/>
              </w:rPr>
              <w:t>roup members</w:t>
            </w:r>
            <w:r w:rsidRPr="00AC6B9C">
              <w:rPr>
                <w:rFonts w:ascii="Avenir Book" w:hAnsi="Avenir Book" w:cstheme="majorHAnsi"/>
                <w:sz w:val="22"/>
                <w:szCs w:val="22"/>
              </w:rPr>
              <w:t>.</w:t>
            </w:r>
            <w:r w:rsidR="0017567C" w:rsidRPr="00AC6B9C">
              <w:rPr>
                <w:rFonts w:ascii="Avenir Book" w:hAnsi="Avenir Book" w:cstheme="majorHAnsi"/>
                <w:sz w:val="22"/>
                <w:szCs w:val="22"/>
              </w:rPr>
              <w:t xml:space="preserve"> </w:t>
            </w:r>
          </w:p>
          <w:p w14:paraId="1921DDBC" w14:textId="74391AC6" w:rsidR="006F13C9" w:rsidRPr="00AC6B9C" w:rsidRDefault="006F13C9" w:rsidP="006F13C9">
            <w:pPr>
              <w:pStyle w:val="ListParagraph"/>
              <w:numPr>
                <w:ilvl w:val="0"/>
                <w:numId w:val="46"/>
              </w:numPr>
              <w:spacing w:after="5" w:line="248" w:lineRule="auto"/>
              <w:ind w:right="11"/>
              <w:jc w:val="both"/>
              <w:rPr>
                <w:rFonts w:ascii="Avenir Book" w:hAnsi="Avenir Book" w:cstheme="majorHAnsi"/>
                <w:sz w:val="22"/>
                <w:szCs w:val="22"/>
              </w:rPr>
            </w:pPr>
            <w:r w:rsidRPr="00AC6B9C">
              <w:rPr>
                <w:rFonts w:ascii="Avenir Book" w:hAnsi="Avenir Book" w:cstheme="majorHAnsi"/>
                <w:sz w:val="22"/>
                <w:szCs w:val="22"/>
              </w:rPr>
              <w:t>Final document: Incorporating timely feedback from GISF staff and the overseeing working group</w:t>
            </w:r>
          </w:p>
          <w:p w14:paraId="46709763" w14:textId="17D569F5" w:rsidR="0017567C" w:rsidRPr="00001050" w:rsidRDefault="0017567C" w:rsidP="0017567C">
            <w:pPr>
              <w:rPr>
                <w:rFonts w:ascii="Avenir Book" w:hAnsi="Avenir Book" w:cstheme="majorHAnsi"/>
                <w:sz w:val="22"/>
                <w:szCs w:val="22"/>
              </w:rPr>
            </w:pPr>
          </w:p>
        </w:tc>
      </w:tr>
      <w:tr w:rsidR="00A97A47" w:rsidRPr="00001050" w14:paraId="05ACBC9A" w14:textId="77777777" w:rsidTr="0012694A">
        <w:tc>
          <w:tcPr>
            <w:tcW w:w="1885" w:type="dxa"/>
            <w:shd w:val="clear" w:color="auto" w:fill="D5DCE4" w:themeFill="text2" w:themeFillTint="33"/>
          </w:tcPr>
          <w:p w14:paraId="7BE8E346" w14:textId="0AB4ABDF" w:rsidR="00A97A47" w:rsidRPr="00A97A47" w:rsidRDefault="00A97A47" w:rsidP="00A97A47">
            <w:pPr>
              <w:spacing w:after="5" w:line="248" w:lineRule="auto"/>
              <w:ind w:right="11"/>
              <w:jc w:val="both"/>
            </w:pPr>
            <w:r w:rsidRPr="00A97A47">
              <w:rPr>
                <w:rFonts w:ascii="Calibri" w:eastAsia="Calibri" w:hAnsi="Calibri" w:cs="Calibri"/>
                <w:b/>
                <w:bCs/>
              </w:rPr>
              <w:t>Tender</w:t>
            </w:r>
            <w:r>
              <w:rPr>
                <w:rFonts w:ascii="Calibri" w:eastAsia="Calibri" w:hAnsi="Calibri" w:cs="Calibri"/>
              </w:rPr>
              <w:t xml:space="preserve"> </w:t>
            </w:r>
            <w:r>
              <w:rPr>
                <w:rFonts w:ascii="Calibri" w:eastAsia="Calibri" w:hAnsi="Calibri" w:cs="Calibri"/>
                <w:b/>
                <w:bCs/>
              </w:rPr>
              <w:t>s</w:t>
            </w:r>
            <w:r w:rsidRPr="00A97A47">
              <w:rPr>
                <w:rFonts w:ascii="Calibri" w:eastAsia="Calibri" w:hAnsi="Calibri" w:cs="Calibri"/>
                <w:b/>
                <w:bCs/>
              </w:rPr>
              <w:t>ubmission deadline</w:t>
            </w:r>
          </w:p>
        </w:tc>
        <w:tc>
          <w:tcPr>
            <w:tcW w:w="7723" w:type="dxa"/>
          </w:tcPr>
          <w:p w14:paraId="070BFCA9" w14:textId="013A3370" w:rsidR="00A97A47" w:rsidRPr="006A7EDF" w:rsidRDefault="00A97A47" w:rsidP="00A97A47">
            <w:pPr>
              <w:spacing w:after="5" w:line="248" w:lineRule="auto"/>
              <w:ind w:left="10" w:right="11" w:hanging="10"/>
              <w:jc w:val="both"/>
              <w:rPr>
                <w:rFonts w:ascii="Avenir Book" w:hAnsi="Avenir Book"/>
              </w:rPr>
            </w:pPr>
            <w:r w:rsidRPr="006A7EDF">
              <w:rPr>
                <w:rFonts w:ascii="Avenir Book" w:eastAsia="Calibri" w:hAnsi="Avenir Book" w:cs="Calibri"/>
              </w:rPr>
              <w:t xml:space="preserve">All potential vendors are requested to submit their tender dossier by Friday </w:t>
            </w:r>
            <w:r w:rsidR="009C5C72" w:rsidRPr="006A7EDF">
              <w:rPr>
                <w:rFonts w:ascii="Avenir Book" w:eastAsia="Calibri" w:hAnsi="Avenir Book" w:cs="Calibri"/>
              </w:rPr>
              <w:t>24</w:t>
            </w:r>
            <w:r w:rsidRPr="006A7EDF">
              <w:rPr>
                <w:rFonts w:ascii="Avenir Book" w:eastAsia="Calibri" w:hAnsi="Avenir Book" w:cs="Calibri"/>
                <w:vertAlign w:val="superscript"/>
              </w:rPr>
              <w:t>th</w:t>
            </w:r>
            <w:r w:rsidRPr="006A7EDF">
              <w:rPr>
                <w:rFonts w:ascii="Avenir Book" w:eastAsia="Calibri" w:hAnsi="Avenir Book" w:cs="Calibri"/>
              </w:rPr>
              <w:t xml:space="preserve"> of February</w:t>
            </w:r>
            <w:r w:rsidR="00AC6B9C" w:rsidRPr="006A7EDF">
              <w:rPr>
                <w:rFonts w:ascii="Avenir Book" w:eastAsia="Calibri" w:hAnsi="Avenir Book" w:cs="Calibri"/>
              </w:rPr>
              <w:t>,</w:t>
            </w:r>
            <w:r w:rsidRPr="006A7EDF">
              <w:rPr>
                <w:rFonts w:ascii="Avenir Book" w:eastAsia="Calibri" w:hAnsi="Avenir Book" w:cs="Calibri"/>
              </w:rPr>
              <w:t xml:space="preserve"> 2023 (</w:t>
            </w:r>
            <w:r w:rsidR="00396A14" w:rsidRPr="006A7EDF">
              <w:rPr>
                <w:rFonts w:ascii="Avenir Book" w:eastAsia="Calibri" w:hAnsi="Avenir Book" w:cs="Calibri"/>
              </w:rPr>
              <w:t>5 pm</w:t>
            </w:r>
            <w:r w:rsidRPr="006A7EDF">
              <w:rPr>
                <w:rFonts w:ascii="Avenir Book" w:eastAsia="Calibri" w:hAnsi="Avenir Book" w:cs="Calibri"/>
              </w:rPr>
              <w:t xml:space="preserve"> GMT) at </w:t>
            </w:r>
            <w:hyperlink r:id="rId9" w:history="1">
              <w:r w:rsidRPr="006A7EDF">
                <w:rPr>
                  <w:rStyle w:val="Hyperlink"/>
                  <w:rFonts w:ascii="Avenir Book" w:eastAsia="Calibri" w:hAnsi="Avenir Book" w:cs="Calibri"/>
                </w:rPr>
                <w:t>gisfamericasra@gisf.ngo</w:t>
              </w:r>
            </w:hyperlink>
            <w:r w:rsidRPr="006A7EDF">
              <w:rPr>
                <w:rFonts w:ascii="Avenir Book" w:eastAsia="Calibri" w:hAnsi="Avenir Book" w:cs="Calibri"/>
                <w:color w:val="0462C1"/>
                <w:u w:val="single" w:color="0462C1"/>
              </w:rPr>
              <w:t xml:space="preserve"> </w:t>
            </w:r>
            <w:r w:rsidRPr="006A7EDF">
              <w:rPr>
                <w:rFonts w:ascii="Avenir Book" w:eastAsia="Calibri" w:hAnsi="Avenir Book" w:cs="Calibri"/>
              </w:rPr>
              <w:t xml:space="preserve">copying in </w:t>
            </w:r>
            <w:hyperlink r:id="rId10" w:history="1">
              <w:r w:rsidRPr="006A7EDF">
                <w:rPr>
                  <w:rStyle w:val="Hyperlink"/>
                  <w:rFonts w:ascii="Avenir Book" w:eastAsia="Calibri" w:hAnsi="Avenir Book" w:cs="Calibri"/>
                </w:rPr>
                <w:t>gisf-ddamericas@gisf.ngo</w:t>
              </w:r>
            </w:hyperlink>
            <w:r w:rsidRPr="006A7EDF">
              <w:rPr>
                <w:rFonts w:ascii="Avenir Book" w:eastAsia="Calibri" w:hAnsi="Avenir Book" w:cs="Calibri"/>
              </w:rPr>
              <w:t xml:space="preserve"> </w:t>
            </w:r>
          </w:p>
          <w:p w14:paraId="3063F4A2" w14:textId="77777777" w:rsidR="00A97A47" w:rsidRDefault="00A97A47" w:rsidP="0017567C">
            <w:pPr>
              <w:spacing w:after="5" w:line="248" w:lineRule="auto"/>
              <w:ind w:left="10" w:right="11" w:hanging="10"/>
              <w:jc w:val="both"/>
              <w:rPr>
                <w:rFonts w:ascii="Calibri" w:eastAsia="Calibri" w:hAnsi="Calibri" w:cs="Calibri"/>
              </w:rPr>
            </w:pPr>
          </w:p>
        </w:tc>
      </w:tr>
      <w:tr w:rsidR="00A97A47" w:rsidRPr="006A7EDF" w14:paraId="6509F4C4" w14:textId="77777777" w:rsidTr="0012694A">
        <w:tc>
          <w:tcPr>
            <w:tcW w:w="1885" w:type="dxa"/>
            <w:shd w:val="clear" w:color="auto" w:fill="D5DCE4" w:themeFill="text2" w:themeFillTint="33"/>
          </w:tcPr>
          <w:p w14:paraId="6F01C347" w14:textId="6ED752AF" w:rsidR="00A97A47" w:rsidRPr="00A97A47" w:rsidRDefault="00A97A47" w:rsidP="00A97A47">
            <w:pPr>
              <w:spacing w:after="5" w:line="248" w:lineRule="auto"/>
              <w:ind w:right="11"/>
              <w:jc w:val="both"/>
              <w:rPr>
                <w:rFonts w:ascii="Calibri" w:eastAsia="Calibri" w:hAnsi="Calibri" w:cs="Calibri"/>
                <w:b/>
                <w:bCs/>
              </w:rPr>
            </w:pPr>
            <w:r>
              <w:rPr>
                <w:rFonts w:ascii="Calibri" w:eastAsia="Calibri" w:hAnsi="Calibri" w:cs="Calibri"/>
                <w:b/>
                <w:bCs/>
              </w:rPr>
              <w:lastRenderedPageBreak/>
              <w:t>Minimum tender dossier documents</w:t>
            </w:r>
          </w:p>
        </w:tc>
        <w:tc>
          <w:tcPr>
            <w:tcW w:w="7723" w:type="dxa"/>
          </w:tcPr>
          <w:p w14:paraId="799B9380" w14:textId="603B19D2" w:rsidR="00A97A47" w:rsidRPr="006A7EDF" w:rsidRDefault="00A97A47" w:rsidP="00A97A47">
            <w:pPr>
              <w:spacing w:after="37" w:line="248" w:lineRule="auto"/>
              <w:ind w:left="10" w:right="11" w:hanging="10"/>
              <w:jc w:val="both"/>
              <w:rPr>
                <w:rFonts w:ascii="Avenir Book" w:hAnsi="Avenir Book"/>
              </w:rPr>
            </w:pPr>
            <w:r w:rsidRPr="006A7EDF">
              <w:rPr>
                <w:rFonts w:ascii="Avenir Book" w:eastAsia="Calibri" w:hAnsi="Avenir Book" w:cs="Calibri"/>
              </w:rPr>
              <w:t>The tender dossier should not exceed 10 pages</w:t>
            </w:r>
            <w:r w:rsidR="00396A14" w:rsidRPr="006A7EDF">
              <w:rPr>
                <w:rFonts w:ascii="Avenir Book" w:eastAsia="Calibri" w:hAnsi="Avenir Book" w:cs="Calibri"/>
              </w:rPr>
              <w:t>,</w:t>
            </w:r>
            <w:r w:rsidRPr="006A7EDF">
              <w:rPr>
                <w:rFonts w:ascii="Avenir Book" w:eastAsia="Calibri" w:hAnsi="Avenir Book" w:cs="Calibri"/>
              </w:rPr>
              <w:t xml:space="preserve"> including appendices, and should</w:t>
            </w:r>
            <w:r w:rsidR="00396A14" w:rsidRPr="006A7EDF">
              <w:rPr>
                <w:rFonts w:ascii="Avenir Book" w:eastAsia="Calibri" w:hAnsi="Avenir Book" w:cs="Calibri"/>
              </w:rPr>
              <w:t>,</w:t>
            </w:r>
            <w:r w:rsidRPr="006A7EDF">
              <w:rPr>
                <w:rFonts w:ascii="Avenir Book" w:eastAsia="Calibri" w:hAnsi="Avenir Book" w:cs="Calibri"/>
              </w:rPr>
              <w:t xml:space="preserve"> at minimum</w:t>
            </w:r>
            <w:r w:rsidR="00396A14" w:rsidRPr="006A7EDF">
              <w:rPr>
                <w:rFonts w:ascii="Avenir Book" w:eastAsia="Calibri" w:hAnsi="Avenir Book" w:cs="Calibri"/>
              </w:rPr>
              <w:t>,</w:t>
            </w:r>
            <w:r w:rsidRPr="006A7EDF">
              <w:rPr>
                <w:rFonts w:ascii="Avenir Book" w:eastAsia="Calibri" w:hAnsi="Avenir Book" w:cs="Calibri"/>
              </w:rPr>
              <w:t xml:space="preserve"> contain</w:t>
            </w:r>
            <w:r w:rsidR="00396A14" w:rsidRPr="006A7EDF">
              <w:rPr>
                <w:rFonts w:ascii="Avenir Book" w:eastAsia="Calibri" w:hAnsi="Avenir Book" w:cs="Calibri"/>
              </w:rPr>
              <w:t xml:space="preserve"> the following</w:t>
            </w:r>
            <w:r w:rsidRPr="006A7EDF">
              <w:rPr>
                <w:rFonts w:ascii="Avenir Book" w:eastAsia="Calibri" w:hAnsi="Avenir Book" w:cs="Calibri"/>
              </w:rPr>
              <w:t xml:space="preserve">:  </w:t>
            </w:r>
          </w:p>
          <w:p w14:paraId="48BC0F0B" w14:textId="77777777" w:rsidR="00A97A47" w:rsidRPr="006A7EDF" w:rsidRDefault="00A97A47" w:rsidP="00A97A47">
            <w:pPr>
              <w:pStyle w:val="ListParagraph"/>
              <w:numPr>
                <w:ilvl w:val="0"/>
                <w:numId w:val="43"/>
              </w:numPr>
              <w:spacing w:after="5" w:line="248" w:lineRule="auto"/>
              <w:ind w:right="11"/>
              <w:jc w:val="both"/>
              <w:rPr>
                <w:rFonts w:ascii="Avenir Book" w:hAnsi="Avenir Book"/>
              </w:rPr>
            </w:pPr>
            <w:r w:rsidRPr="006A7EDF">
              <w:rPr>
                <w:rFonts w:ascii="Avenir Book" w:eastAsia="Calibri" w:hAnsi="Avenir Book" w:cs="Calibri"/>
              </w:rPr>
              <w:t xml:space="preserve">An implementation plan outlining the timeframe and milestones. </w:t>
            </w:r>
          </w:p>
          <w:p w14:paraId="2B4855B4" w14:textId="45F8434F" w:rsidR="00A97A47" w:rsidRPr="006A7EDF" w:rsidRDefault="00A97A47" w:rsidP="00A97A47">
            <w:pPr>
              <w:pStyle w:val="ListParagraph"/>
              <w:numPr>
                <w:ilvl w:val="0"/>
                <w:numId w:val="43"/>
              </w:numPr>
              <w:spacing w:after="5" w:line="248" w:lineRule="auto"/>
              <w:ind w:right="11"/>
              <w:jc w:val="both"/>
              <w:rPr>
                <w:rFonts w:ascii="Avenir Book" w:hAnsi="Avenir Book"/>
              </w:rPr>
            </w:pPr>
            <w:r w:rsidRPr="006A7EDF">
              <w:rPr>
                <w:rFonts w:ascii="Avenir Book" w:eastAsia="Calibri" w:hAnsi="Avenir Book" w:cs="Calibri"/>
              </w:rPr>
              <w:t>A company/consultant profile focused on information relevant to this tender (</w:t>
            </w:r>
            <w:r w:rsidR="00AC6B9C" w:rsidRPr="006A7EDF">
              <w:rPr>
                <w:rFonts w:ascii="Avenir Book" w:eastAsia="Calibri" w:hAnsi="Avenir Book" w:cs="Calibri"/>
              </w:rPr>
              <w:t>e.g.</w:t>
            </w:r>
            <w:r w:rsidR="00396A14" w:rsidRPr="006A7EDF">
              <w:rPr>
                <w:rFonts w:ascii="Avenir Book" w:eastAsia="Calibri" w:hAnsi="Avenir Book" w:cs="Calibri"/>
              </w:rPr>
              <w:t>,</w:t>
            </w:r>
            <w:r w:rsidRPr="006A7EDF">
              <w:rPr>
                <w:rFonts w:ascii="Avenir Book" w:eastAsia="Calibri" w:hAnsi="Avenir Book" w:cs="Calibri"/>
              </w:rPr>
              <w:t xml:space="preserve"> detail the experience of proposed team members or consultant, examples of previous similar or relevant products developed.</w:t>
            </w:r>
            <w:r w:rsidR="00357A30" w:rsidRPr="006A7EDF">
              <w:rPr>
                <w:rFonts w:ascii="Avenir Book" w:eastAsia="Calibri" w:hAnsi="Avenir Book" w:cs="Calibri"/>
              </w:rPr>
              <w:t>)</w:t>
            </w:r>
          </w:p>
          <w:p w14:paraId="1FF57011" w14:textId="00969114" w:rsidR="00A97A47" w:rsidRPr="006A7EDF" w:rsidRDefault="00A97A47" w:rsidP="00A97A47">
            <w:pPr>
              <w:pStyle w:val="ListParagraph"/>
              <w:numPr>
                <w:ilvl w:val="0"/>
                <w:numId w:val="43"/>
              </w:numPr>
              <w:spacing w:after="5" w:line="248" w:lineRule="auto"/>
              <w:ind w:right="11"/>
              <w:jc w:val="both"/>
              <w:rPr>
                <w:rFonts w:ascii="Avenir Book" w:hAnsi="Avenir Book"/>
              </w:rPr>
            </w:pPr>
            <w:r w:rsidRPr="006A7EDF">
              <w:rPr>
                <w:rFonts w:ascii="Avenir Book" w:eastAsia="Calibri" w:hAnsi="Avenir Book" w:cs="Calibri"/>
              </w:rPr>
              <w:t xml:space="preserve">A detailed financial proposal including costs for all services provided and a clear explanation of how work is charged. </w:t>
            </w:r>
          </w:p>
          <w:p w14:paraId="25D90B14" w14:textId="77777777" w:rsidR="00A97A47" w:rsidRPr="006A7EDF" w:rsidRDefault="00A97A47" w:rsidP="00A97A47">
            <w:pPr>
              <w:rPr>
                <w:rFonts w:ascii="Avenir Book" w:hAnsi="Avenir Book"/>
              </w:rPr>
            </w:pPr>
            <w:r w:rsidRPr="006A7EDF">
              <w:rPr>
                <w:rFonts w:ascii="Avenir Book" w:eastAsia="Calibri" w:hAnsi="Avenir Book" w:cs="Calibri"/>
              </w:rPr>
              <w:t xml:space="preserve"> </w:t>
            </w:r>
          </w:p>
          <w:p w14:paraId="128ABC02" w14:textId="11B8C8B2" w:rsidR="00A97A47" w:rsidRPr="006A7EDF" w:rsidRDefault="00A97A47" w:rsidP="00A97A47">
            <w:pPr>
              <w:spacing w:after="5" w:line="248" w:lineRule="auto"/>
              <w:ind w:left="10" w:right="11" w:hanging="10"/>
              <w:jc w:val="both"/>
              <w:rPr>
                <w:rFonts w:ascii="Avenir Book" w:hAnsi="Avenir Book"/>
              </w:rPr>
            </w:pPr>
            <w:r w:rsidRPr="006A7EDF">
              <w:rPr>
                <w:rFonts w:ascii="Avenir Book" w:eastAsia="Calibri" w:hAnsi="Avenir Book" w:cs="Calibri"/>
              </w:rPr>
              <w:t xml:space="preserve">All costs must be included in the tender offer. The </w:t>
            </w:r>
            <w:r w:rsidR="00396A14" w:rsidRPr="006A7EDF">
              <w:rPr>
                <w:rFonts w:ascii="Avenir Book" w:eastAsia="Calibri" w:hAnsi="Avenir Book" w:cs="Calibri"/>
              </w:rPr>
              <w:t>prices</w:t>
            </w:r>
            <w:r w:rsidRPr="006A7EDF">
              <w:rPr>
                <w:rFonts w:ascii="Avenir Book" w:eastAsia="Calibri" w:hAnsi="Avenir Book" w:cs="Calibri"/>
              </w:rPr>
              <w:t xml:space="preserve"> are to be specified in US Dollars</w:t>
            </w:r>
            <w:r w:rsidR="007B4EFC">
              <w:rPr>
                <w:rFonts w:ascii="Avenir Book" w:eastAsia="Calibri" w:hAnsi="Avenir Book" w:cs="Calibri"/>
              </w:rPr>
              <w:t xml:space="preserve">. </w:t>
            </w:r>
            <w:r w:rsidRPr="006A7EDF">
              <w:rPr>
                <w:rFonts w:ascii="Avenir Book" w:eastAsia="Calibri" w:hAnsi="Avenir Book" w:cs="Calibri"/>
              </w:rPr>
              <w:t xml:space="preserve">Costs associated with the preparation of the tender will not be reimbursed.  </w:t>
            </w:r>
          </w:p>
          <w:p w14:paraId="6F5B65FA" w14:textId="77777777" w:rsidR="00A97A47" w:rsidRPr="006A7EDF" w:rsidRDefault="00A97A47" w:rsidP="00A97A47">
            <w:pPr>
              <w:rPr>
                <w:rFonts w:ascii="Avenir Book" w:hAnsi="Avenir Book"/>
              </w:rPr>
            </w:pPr>
            <w:r w:rsidRPr="006A7EDF">
              <w:rPr>
                <w:rFonts w:ascii="Avenir Book" w:eastAsia="Calibri" w:hAnsi="Avenir Book" w:cs="Calibri"/>
              </w:rPr>
              <w:t xml:space="preserve"> </w:t>
            </w:r>
          </w:p>
          <w:p w14:paraId="20640C14" w14:textId="77777777" w:rsidR="00A97A47" w:rsidRPr="006A7EDF" w:rsidRDefault="00A97A47" w:rsidP="00A97A47">
            <w:pPr>
              <w:spacing w:after="5" w:line="248" w:lineRule="auto"/>
              <w:ind w:left="10" w:right="11" w:hanging="10"/>
              <w:jc w:val="both"/>
              <w:rPr>
                <w:rFonts w:ascii="Avenir Book" w:hAnsi="Avenir Book"/>
              </w:rPr>
            </w:pPr>
            <w:r w:rsidRPr="006A7EDF">
              <w:rPr>
                <w:rFonts w:ascii="Avenir Book" w:eastAsia="Calibri" w:hAnsi="Avenir Book" w:cs="Calibri"/>
              </w:rPr>
              <w:t xml:space="preserve">All tender offers must be valid for a minimum of 90 days from the tender submission deadline date.  </w:t>
            </w:r>
          </w:p>
          <w:p w14:paraId="31AD6BB6" w14:textId="77777777" w:rsidR="00A97A47" w:rsidRPr="006A7EDF" w:rsidRDefault="00A97A47" w:rsidP="00A97A47">
            <w:pPr>
              <w:spacing w:after="5" w:line="248" w:lineRule="auto"/>
              <w:ind w:left="10" w:right="11" w:hanging="10"/>
              <w:jc w:val="both"/>
              <w:rPr>
                <w:rFonts w:ascii="Avenir Book" w:eastAsia="Calibri" w:hAnsi="Avenir Book" w:cs="Calibri"/>
              </w:rPr>
            </w:pPr>
          </w:p>
        </w:tc>
      </w:tr>
      <w:tr w:rsidR="00A97A47" w:rsidRPr="00001050" w14:paraId="13A02865" w14:textId="77777777" w:rsidTr="0012694A">
        <w:tc>
          <w:tcPr>
            <w:tcW w:w="1885" w:type="dxa"/>
            <w:shd w:val="clear" w:color="auto" w:fill="D5DCE4" w:themeFill="text2" w:themeFillTint="33"/>
          </w:tcPr>
          <w:p w14:paraId="412B914D" w14:textId="63470D06" w:rsidR="00A97A47" w:rsidRPr="00A97A47" w:rsidRDefault="00A97A47" w:rsidP="00A97A47">
            <w:pPr>
              <w:spacing w:after="5" w:line="248" w:lineRule="auto"/>
              <w:ind w:right="11"/>
              <w:jc w:val="both"/>
              <w:rPr>
                <w:rFonts w:ascii="Calibri" w:eastAsia="Calibri" w:hAnsi="Calibri" w:cs="Calibri"/>
                <w:b/>
                <w:bCs/>
              </w:rPr>
            </w:pPr>
            <w:r w:rsidRPr="00A97A47">
              <w:rPr>
                <w:rFonts w:ascii="Calibri" w:eastAsia="Calibri" w:hAnsi="Calibri" w:cs="Calibri"/>
                <w:b/>
                <w:bCs/>
              </w:rPr>
              <w:t>Tender Analysis and Evaluation</w:t>
            </w:r>
          </w:p>
        </w:tc>
        <w:tc>
          <w:tcPr>
            <w:tcW w:w="7723" w:type="dxa"/>
          </w:tcPr>
          <w:p w14:paraId="443CCC23" w14:textId="681B4265" w:rsidR="004F033B" w:rsidRPr="006A7EDF" w:rsidRDefault="005D23AF" w:rsidP="004F033B">
            <w:pPr>
              <w:spacing w:after="4" w:line="248" w:lineRule="auto"/>
              <w:ind w:left="346" w:right="-209" w:hanging="361"/>
              <w:rPr>
                <w:rFonts w:ascii="Avenir Book" w:eastAsia="Calibri" w:hAnsi="Avenir Book" w:cs="Calibri"/>
              </w:rPr>
            </w:pPr>
            <w:r w:rsidRPr="006A7EDF">
              <w:rPr>
                <w:rFonts w:ascii="Avenir Book" w:eastAsia="Calibri" w:hAnsi="Avenir Book" w:cs="Calibri"/>
              </w:rPr>
              <w:t xml:space="preserve">GISF will consider several factors when analysing </w:t>
            </w:r>
            <w:r w:rsidR="00396A14" w:rsidRPr="006A7EDF">
              <w:rPr>
                <w:rFonts w:ascii="Avenir Book" w:eastAsia="Calibri" w:hAnsi="Avenir Book" w:cs="Calibri"/>
              </w:rPr>
              <w:t>relevant</w:t>
            </w:r>
            <w:r w:rsidRPr="006A7EDF">
              <w:rPr>
                <w:rFonts w:ascii="Avenir Book" w:eastAsia="Calibri" w:hAnsi="Avenir Book" w:cs="Calibri"/>
              </w:rPr>
              <w:t xml:space="preserve"> tenders, including: </w:t>
            </w:r>
          </w:p>
          <w:p w14:paraId="79D2541A" w14:textId="774F9CBC" w:rsidR="005D23AF" w:rsidRPr="006A7EDF" w:rsidRDefault="005D23AF" w:rsidP="004F033B">
            <w:pPr>
              <w:spacing w:after="4" w:line="248" w:lineRule="auto"/>
              <w:ind w:left="346" w:right="-209" w:hanging="361"/>
              <w:rPr>
                <w:rFonts w:ascii="Avenir Book" w:eastAsia="Segoe UI Symbol" w:hAnsi="Avenir Book" w:cs="Segoe UI Symbol"/>
              </w:rPr>
            </w:pPr>
            <w:r w:rsidRPr="006A7EDF">
              <w:rPr>
                <w:rFonts w:ascii="Avenir Book" w:eastAsia="Calibri" w:hAnsi="Avenir Book" w:cs="Calibri"/>
              </w:rPr>
              <w:t xml:space="preserve"> </w:t>
            </w:r>
          </w:p>
          <w:p w14:paraId="14C2A557" w14:textId="77777777" w:rsidR="005D23AF" w:rsidRPr="006A7EDF" w:rsidRDefault="005D23AF" w:rsidP="005D23AF">
            <w:pPr>
              <w:pStyle w:val="ListParagraph"/>
              <w:numPr>
                <w:ilvl w:val="0"/>
                <w:numId w:val="44"/>
              </w:numPr>
              <w:spacing w:after="4" w:line="248" w:lineRule="auto"/>
              <w:ind w:right="1622"/>
              <w:rPr>
                <w:rFonts w:ascii="Avenir Book" w:hAnsi="Avenir Book"/>
              </w:rPr>
            </w:pPr>
            <w:r w:rsidRPr="006A7EDF">
              <w:rPr>
                <w:rFonts w:ascii="Avenir Book" w:eastAsia="Calibri" w:hAnsi="Avenir Book" w:cs="Calibri"/>
              </w:rPr>
              <w:t>Understanding of the product requirements</w:t>
            </w:r>
          </w:p>
          <w:p w14:paraId="7FB558A1" w14:textId="3A300A69" w:rsidR="004F033B" w:rsidRPr="006A7EDF" w:rsidRDefault="005D23AF" w:rsidP="004F033B">
            <w:pPr>
              <w:pStyle w:val="ListParagraph"/>
              <w:numPr>
                <w:ilvl w:val="0"/>
                <w:numId w:val="44"/>
              </w:numPr>
              <w:spacing w:after="4" w:line="248" w:lineRule="auto"/>
              <w:ind w:right="-479"/>
              <w:rPr>
                <w:rFonts w:ascii="Avenir Book" w:hAnsi="Avenir Book"/>
              </w:rPr>
            </w:pPr>
            <w:r w:rsidRPr="006A7EDF">
              <w:rPr>
                <w:rFonts w:ascii="Avenir Book" w:eastAsia="Calibri" w:hAnsi="Avenir Book" w:cs="Calibri"/>
              </w:rPr>
              <w:t xml:space="preserve">Relevant experience of the company/consultant </w:t>
            </w:r>
            <w:r w:rsidR="00396A14" w:rsidRPr="006A7EDF">
              <w:rPr>
                <w:rFonts w:ascii="Avenir Book" w:eastAsia="Calibri" w:hAnsi="Avenir Book" w:cs="Calibri"/>
              </w:rPr>
              <w:t>and</w:t>
            </w:r>
            <w:r w:rsidRPr="006A7EDF">
              <w:rPr>
                <w:rFonts w:ascii="Avenir Book" w:eastAsia="Calibri" w:hAnsi="Avenir Book" w:cs="Calibri"/>
              </w:rPr>
              <w:t xml:space="preserve"> project team </w:t>
            </w:r>
          </w:p>
          <w:p w14:paraId="00D690A8" w14:textId="5818A3A4" w:rsidR="005D23AF" w:rsidRPr="006A7EDF" w:rsidRDefault="004F033B" w:rsidP="005D23AF">
            <w:pPr>
              <w:pStyle w:val="ListParagraph"/>
              <w:numPr>
                <w:ilvl w:val="0"/>
                <w:numId w:val="44"/>
              </w:numPr>
              <w:spacing w:after="4" w:line="248" w:lineRule="auto"/>
              <w:ind w:right="1622"/>
              <w:rPr>
                <w:rFonts w:ascii="Avenir Book" w:hAnsi="Avenir Book"/>
              </w:rPr>
            </w:pPr>
            <w:r w:rsidRPr="006A7EDF">
              <w:rPr>
                <w:rFonts w:ascii="Avenir Book" w:eastAsia="Segoe UI Symbol" w:hAnsi="Avenir Book" w:cs="Segoe UI Symbol"/>
              </w:rPr>
              <w:t>T</w:t>
            </w:r>
            <w:r w:rsidR="005D23AF" w:rsidRPr="006A7EDF">
              <w:rPr>
                <w:rFonts w:ascii="Avenir Book" w:eastAsia="Calibri" w:hAnsi="Avenir Book" w:cs="Calibri"/>
              </w:rPr>
              <w:t>imeframe for completion</w:t>
            </w:r>
          </w:p>
          <w:p w14:paraId="61F209E6" w14:textId="0331797C" w:rsidR="005D23AF" w:rsidRPr="006A7EDF" w:rsidRDefault="005D23AF" w:rsidP="005D23AF">
            <w:pPr>
              <w:pStyle w:val="ListParagraph"/>
              <w:numPr>
                <w:ilvl w:val="0"/>
                <w:numId w:val="44"/>
              </w:numPr>
              <w:spacing w:after="4" w:line="248" w:lineRule="auto"/>
              <w:ind w:right="1622"/>
              <w:rPr>
                <w:rFonts w:ascii="Avenir Book" w:hAnsi="Avenir Book"/>
              </w:rPr>
            </w:pPr>
            <w:r w:rsidRPr="006A7EDF">
              <w:rPr>
                <w:rFonts w:ascii="Avenir Book" w:eastAsia="Calibri" w:hAnsi="Avenir Book" w:cs="Calibri"/>
              </w:rPr>
              <w:t>Value for money</w:t>
            </w:r>
          </w:p>
          <w:p w14:paraId="3BBCBD28" w14:textId="444AA46B" w:rsidR="004F033B" w:rsidRPr="006A7EDF" w:rsidRDefault="005D23AF" w:rsidP="004F033B">
            <w:pPr>
              <w:pStyle w:val="ListParagraph"/>
              <w:numPr>
                <w:ilvl w:val="0"/>
                <w:numId w:val="44"/>
              </w:numPr>
              <w:spacing w:after="4" w:line="248" w:lineRule="auto"/>
              <w:ind w:right="1622"/>
              <w:rPr>
                <w:rFonts w:ascii="Avenir Book" w:hAnsi="Avenir Book"/>
              </w:rPr>
            </w:pPr>
            <w:r w:rsidRPr="006A7EDF">
              <w:rPr>
                <w:rFonts w:ascii="Avenir Book" w:eastAsia="Calibri" w:hAnsi="Avenir Book" w:cs="Calibri"/>
              </w:rPr>
              <w:t>Communication with GISF</w:t>
            </w:r>
          </w:p>
          <w:p w14:paraId="7E926E8A" w14:textId="77777777" w:rsidR="004F033B" w:rsidRPr="006A7EDF" w:rsidRDefault="004F033B" w:rsidP="004F033B">
            <w:pPr>
              <w:pStyle w:val="ListParagraph"/>
              <w:spacing w:after="4" w:line="248" w:lineRule="auto"/>
              <w:ind w:left="770" w:right="1622"/>
              <w:rPr>
                <w:rFonts w:ascii="Avenir Book" w:hAnsi="Avenir Book"/>
              </w:rPr>
            </w:pPr>
          </w:p>
          <w:p w14:paraId="3F720114" w14:textId="4F0ED8C1" w:rsidR="004F033B" w:rsidRDefault="005D23AF" w:rsidP="004F033B">
            <w:pPr>
              <w:spacing w:after="5" w:line="248" w:lineRule="auto"/>
              <w:ind w:left="10" w:right="11" w:hanging="10"/>
              <w:jc w:val="both"/>
              <w:rPr>
                <w:rFonts w:ascii="Calibri" w:eastAsia="Calibri" w:hAnsi="Calibri" w:cs="Calibri"/>
              </w:rPr>
            </w:pPr>
            <w:r w:rsidRPr="006A7EDF">
              <w:rPr>
                <w:rFonts w:ascii="Avenir Book" w:eastAsia="Calibri" w:hAnsi="Avenir Book" w:cs="Calibri"/>
              </w:rPr>
              <w:t xml:space="preserve">Once tenders have been submitted and received, they will be evaluated by a Tender Committee. The scoring and weighting used to </w:t>
            </w:r>
            <w:r w:rsidR="00396A14" w:rsidRPr="006A7EDF">
              <w:rPr>
                <w:rFonts w:ascii="Avenir Book" w:eastAsia="Calibri" w:hAnsi="Avenir Book" w:cs="Calibri"/>
              </w:rPr>
              <w:t>assess</w:t>
            </w:r>
            <w:r w:rsidRPr="006A7EDF">
              <w:rPr>
                <w:rFonts w:ascii="Avenir Book" w:eastAsia="Calibri" w:hAnsi="Avenir Book" w:cs="Calibri"/>
              </w:rPr>
              <w:t xml:space="preserve"> each tender is outlined in the following table.</w:t>
            </w:r>
            <w:r>
              <w:rPr>
                <w:rFonts w:ascii="Calibri" w:eastAsia="Calibri" w:hAnsi="Calibri" w:cs="Calibri"/>
              </w:rPr>
              <w:t xml:space="preserve">  </w:t>
            </w:r>
          </w:p>
        </w:tc>
      </w:tr>
      <w:tr w:rsidR="005D23AF" w:rsidRPr="00001050" w14:paraId="2B51856F" w14:textId="77777777" w:rsidTr="0012694A">
        <w:tc>
          <w:tcPr>
            <w:tcW w:w="1885" w:type="dxa"/>
            <w:vMerge w:val="restart"/>
            <w:shd w:val="clear" w:color="auto" w:fill="D5DCE4" w:themeFill="text2" w:themeFillTint="33"/>
          </w:tcPr>
          <w:p w14:paraId="1C573F0C" w14:textId="77777777" w:rsidR="005D23AF" w:rsidRPr="005D23AF" w:rsidRDefault="005D23AF" w:rsidP="005D23AF">
            <w:pPr>
              <w:spacing w:after="5" w:line="248" w:lineRule="auto"/>
              <w:ind w:right="11"/>
              <w:jc w:val="both"/>
              <w:rPr>
                <w:rFonts w:ascii="Calibri" w:eastAsia="Calibri" w:hAnsi="Calibri" w:cs="Calibri"/>
                <w:b/>
                <w:bCs/>
              </w:rPr>
            </w:pPr>
            <w:r w:rsidRPr="005D23AF">
              <w:rPr>
                <w:rFonts w:ascii="Calibri" w:eastAsia="Calibri" w:hAnsi="Calibri" w:cs="Calibri"/>
                <w:b/>
                <w:bCs/>
              </w:rPr>
              <w:t xml:space="preserve">Evaluation Criteria  </w:t>
            </w:r>
          </w:p>
          <w:p w14:paraId="5A1A8142" w14:textId="77777777" w:rsidR="005D23AF" w:rsidRDefault="005D23AF" w:rsidP="005D23AF">
            <w:pPr>
              <w:spacing w:after="5" w:line="248" w:lineRule="auto"/>
              <w:ind w:right="11"/>
              <w:jc w:val="both"/>
              <w:rPr>
                <w:rFonts w:ascii="Calibri" w:eastAsia="Calibri" w:hAnsi="Calibri" w:cs="Calibri"/>
                <w:b/>
                <w:bCs/>
              </w:rPr>
            </w:pPr>
          </w:p>
          <w:p w14:paraId="45DD9469" w14:textId="77777777" w:rsidR="005D23AF" w:rsidRDefault="005D23AF" w:rsidP="005D23AF">
            <w:pPr>
              <w:spacing w:after="5" w:line="248" w:lineRule="auto"/>
              <w:ind w:right="11"/>
              <w:jc w:val="both"/>
              <w:rPr>
                <w:rFonts w:ascii="Calibri" w:eastAsia="Calibri" w:hAnsi="Calibri" w:cs="Calibri"/>
                <w:b/>
                <w:bCs/>
              </w:rPr>
            </w:pPr>
          </w:p>
          <w:p w14:paraId="73917A07" w14:textId="5E754005" w:rsidR="005D23AF" w:rsidRPr="005D23AF" w:rsidRDefault="005D23AF" w:rsidP="000B7344">
            <w:pPr>
              <w:spacing w:after="5" w:line="248" w:lineRule="auto"/>
              <w:ind w:right="11"/>
              <w:jc w:val="both"/>
              <w:rPr>
                <w:rFonts w:ascii="Calibri" w:eastAsia="Calibri" w:hAnsi="Calibri" w:cs="Calibri"/>
                <w:b/>
                <w:bCs/>
              </w:rPr>
            </w:pPr>
          </w:p>
        </w:tc>
        <w:tc>
          <w:tcPr>
            <w:tcW w:w="7723" w:type="dxa"/>
          </w:tcPr>
          <w:p w14:paraId="2F0343EC" w14:textId="21A21510" w:rsidR="005D23AF" w:rsidRPr="006A7EDF" w:rsidRDefault="005D23AF" w:rsidP="005D23AF">
            <w:pPr>
              <w:spacing w:after="4" w:line="248" w:lineRule="auto"/>
              <w:ind w:left="346" w:right="1622" w:hanging="361"/>
              <w:rPr>
                <w:rFonts w:ascii="Avenir Book" w:eastAsia="Calibri" w:hAnsi="Avenir Book" w:cs="Calibri"/>
              </w:rPr>
            </w:pPr>
            <w:r w:rsidRPr="006A7EDF">
              <w:rPr>
                <w:rFonts w:ascii="Avenir Book" w:eastAsia="Calibri" w:hAnsi="Avenir Book" w:cs="Calibri"/>
              </w:rPr>
              <w:t>Tender documents 10%</w:t>
            </w:r>
          </w:p>
        </w:tc>
      </w:tr>
      <w:tr w:rsidR="005D23AF" w:rsidRPr="00001050" w14:paraId="3C6921F6" w14:textId="77777777" w:rsidTr="0012694A">
        <w:tc>
          <w:tcPr>
            <w:tcW w:w="1885" w:type="dxa"/>
            <w:vMerge/>
            <w:shd w:val="clear" w:color="auto" w:fill="D5DCE4" w:themeFill="text2" w:themeFillTint="33"/>
          </w:tcPr>
          <w:p w14:paraId="09831691" w14:textId="77777777" w:rsidR="005D23AF" w:rsidRPr="00A97A47" w:rsidRDefault="005D23AF" w:rsidP="000B7344">
            <w:pPr>
              <w:spacing w:after="5" w:line="248" w:lineRule="auto"/>
              <w:ind w:right="11"/>
              <w:jc w:val="both"/>
              <w:rPr>
                <w:rFonts w:ascii="Calibri" w:eastAsia="Calibri" w:hAnsi="Calibri" w:cs="Calibri"/>
                <w:b/>
                <w:bCs/>
              </w:rPr>
            </w:pPr>
          </w:p>
        </w:tc>
        <w:tc>
          <w:tcPr>
            <w:tcW w:w="7723" w:type="dxa"/>
          </w:tcPr>
          <w:p w14:paraId="05056E67" w14:textId="4CE56ADC" w:rsidR="005D23AF" w:rsidRPr="006A7EDF" w:rsidRDefault="005D23AF" w:rsidP="005D23AF">
            <w:pPr>
              <w:spacing w:after="4" w:line="248" w:lineRule="auto"/>
              <w:ind w:left="346" w:right="1622" w:hanging="361"/>
              <w:rPr>
                <w:rFonts w:ascii="Avenir Book" w:eastAsia="Calibri" w:hAnsi="Avenir Book" w:cs="Calibri"/>
              </w:rPr>
            </w:pPr>
            <w:r w:rsidRPr="006A7EDF">
              <w:rPr>
                <w:rFonts w:ascii="Avenir Book" w:eastAsia="Calibri" w:hAnsi="Avenir Book" w:cs="Calibri"/>
              </w:rPr>
              <w:t>Understanding of GISF</w:t>
            </w:r>
            <w:r w:rsidR="00BC44AD">
              <w:rPr>
                <w:rFonts w:ascii="Avenir Book" w:eastAsia="Calibri" w:hAnsi="Avenir Book" w:cs="Calibri"/>
              </w:rPr>
              <w:t>’</w:t>
            </w:r>
            <w:r w:rsidRPr="006A7EDF">
              <w:rPr>
                <w:rFonts w:ascii="Avenir Book" w:eastAsia="Calibri" w:hAnsi="Avenir Book" w:cs="Calibri"/>
              </w:rPr>
              <w:t xml:space="preserve">s requirements </w:t>
            </w:r>
            <w:r w:rsidR="00BC44AD">
              <w:rPr>
                <w:rFonts w:ascii="Avenir Book" w:eastAsia="Calibri" w:hAnsi="Avenir Book" w:cs="Calibri"/>
              </w:rPr>
              <w:t>1</w:t>
            </w:r>
            <w:r w:rsidRPr="006A7EDF">
              <w:rPr>
                <w:rFonts w:ascii="Avenir Book" w:eastAsia="Calibri" w:hAnsi="Avenir Book" w:cs="Calibri"/>
              </w:rPr>
              <w:t>0%</w:t>
            </w:r>
          </w:p>
        </w:tc>
      </w:tr>
      <w:tr w:rsidR="005D23AF" w:rsidRPr="00001050" w14:paraId="0E18594D" w14:textId="77777777" w:rsidTr="0012694A">
        <w:tc>
          <w:tcPr>
            <w:tcW w:w="1885" w:type="dxa"/>
            <w:vMerge/>
            <w:shd w:val="clear" w:color="auto" w:fill="D5DCE4" w:themeFill="text2" w:themeFillTint="33"/>
          </w:tcPr>
          <w:p w14:paraId="644B904D" w14:textId="77777777" w:rsidR="005D23AF" w:rsidRPr="00A97A47" w:rsidRDefault="005D23AF" w:rsidP="000B7344">
            <w:pPr>
              <w:spacing w:after="5" w:line="248" w:lineRule="auto"/>
              <w:ind w:right="11"/>
              <w:jc w:val="both"/>
              <w:rPr>
                <w:rFonts w:ascii="Calibri" w:eastAsia="Calibri" w:hAnsi="Calibri" w:cs="Calibri"/>
                <w:b/>
                <w:bCs/>
              </w:rPr>
            </w:pPr>
          </w:p>
        </w:tc>
        <w:tc>
          <w:tcPr>
            <w:tcW w:w="7723" w:type="dxa"/>
          </w:tcPr>
          <w:p w14:paraId="41EBCCB0" w14:textId="1D766EAB" w:rsidR="005D23AF" w:rsidRPr="006A7EDF" w:rsidRDefault="005D23AF" w:rsidP="004F033B">
            <w:pPr>
              <w:spacing w:after="4" w:line="248" w:lineRule="auto"/>
              <w:ind w:left="346" w:right="601" w:hanging="361"/>
              <w:rPr>
                <w:rFonts w:ascii="Avenir Book" w:eastAsia="Calibri" w:hAnsi="Avenir Book" w:cs="Calibri"/>
              </w:rPr>
            </w:pPr>
            <w:r w:rsidRPr="006A7EDF">
              <w:rPr>
                <w:rFonts w:ascii="Avenir Book" w:eastAsia="Calibri" w:hAnsi="Avenir Book" w:cs="Calibri"/>
              </w:rPr>
              <w:t>Proposed design</w:t>
            </w:r>
            <w:r w:rsidR="00BC44AD">
              <w:rPr>
                <w:rFonts w:ascii="Avenir Book" w:eastAsia="Calibri" w:hAnsi="Avenir Book" w:cs="Calibri"/>
              </w:rPr>
              <w:t xml:space="preserve"> and </w:t>
            </w:r>
            <w:r w:rsidRPr="006A7EDF">
              <w:rPr>
                <w:rFonts w:ascii="Avenir Book" w:eastAsia="Calibri" w:hAnsi="Avenir Book" w:cs="Calibri"/>
              </w:rPr>
              <w:t>implementation plan</w:t>
            </w:r>
            <w:r w:rsidR="00BC44AD">
              <w:rPr>
                <w:rFonts w:ascii="Avenir Book" w:eastAsia="Calibri" w:hAnsi="Avenir Book" w:cs="Calibri"/>
              </w:rPr>
              <w:t xml:space="preserve"> 3</w:t>
            </w:r>
            <w:r w:rsidRPr="006A7EDF">
              <w:rPr>
                <w:rFonts w:ascii="Avenir Book" w:eastAsia="Calibri" w:hAnsi="Avenir Book" w:cs="Calibri"/>
              </w:rPr>
              <w:t>0%</w:t>
            </w:r>
          </w:p>
        </w:tc>
      </w:tr>
      <w:tr w:rsidR="00BC44AD" w:rsidRPr="00001050" w14:paraId="30D627E5" w14:textId="77777777" w:rsidTr="0012694A">
        <w:tc>
          <w:tcPr>
            <w:tcW w:w="1885" w:type="dxa"/>
            <w:vMerge/>
            <w:shd w:val="clear" w:color="auto" w:fill="D5DCE4" w:themeFill="text2" w:themeFillTint="33"/>
          </w:tcPr>
          <w:p w14:paraId="7C5885A1" w14:textId="77777777" w:rsidR="00BC44AD" w:rsidRPr="00A97A47" w:rsidRDefault="00BC44AD" w:rsidP="000B7344">
            <w:pPr>
              <w:spacing w:after="5" w:line="248" w:lineRule="auto"/>
              <w:ind w:right="11"/>
              <w:jc w:val="both"/>
              <w:rPr>
                <w:rFonts w:ascii="Calibri" w:eastAsia="Calibri" w:hAnsi="Calibri" w:cs="Calibri"/>
                <w:b/>
                <w:bCs/>
              </w:rPr>
            </w:pPr>
          </w:p>
        </w:tc>
        <w:tc>
          <w:tcPr>
            <w:tcW w:w="7723" w:type="dxa"/>
          </w:tcPr>
          <w:p w14:paraId="6B0B700A" w14:textId="362AE4C4" w:rsidR="00BC44AD" w:rsidRPr="006A7EDF" w:rsidRDefault="00BC44AD" w:rsidP="004F033B">
            <w:pPr>
              <w:spacing w:after="4" w:line="248" w:lineRule="auto"/>
              <w:ind w:left="346" w:right="601" w:hanging="361"/>
              <w:rPr>
                <w:rFonts w:ascii="Avenir Book" w:eastAsia="Calibri" w:hAnsi="Avenir Book" w:cs="Calibri"/>
              </w:rPr>
            </w:pPr>
            <w:r>
              <w:rPr>
                <w:rFonts w:ascii="Avenir Book" w:eastAsia="Calibri" w:hAnsi="Avenir Book" w:cs="Calibri"/>
              </w:rPr>
              <w:t>T</w:t>
            </w:r>
            <w:r w:rsidRPr="006A7EDF">
              <w:rPr>
                <w:rFonts w:ascii="Avenir Book" w:eastAsia="Calibri" w:hAnsi="Avenir Book" w:cs="Calibri"/>
              </w:rPr>
              <w:t>imeline</w:t>
            </w:r>
            <w:r>
              <w:rPr>
                <w:rFonts w:ascii="Avenir Book" w:eastAsia="Calibri" w:hAnsi="Avenir Book" w:cs="Calibri"/>
              </w:rPr>
              <w:t xml:space="preserve"> </w:t>
            </w:r>
            <w:r w:rsidRPr="006A7EDF">
              <w:rPr>
                <w:rFonts w:ascii="Avenir Book" w:eastAsia="Calibri" w:hAnsi="Avenir Book" w:cs="Calibri"/>
              </w:rPr>
              <w:t>and price</w:t>
            </w:r>
            <w:r>
              <w:rPr>
                <w:rFonts w:ascii="Avenir Book" w:eastAsia="Calibri" w:hAnsi="Avenir Book" w:cs="Calibri"/>
              </w:rPr>
              <w:t xml:space="preserve"> 20%</w:t>
            </w:r>
          </w:p>
        </w:tc>
      </w:tr>
      <w:tr w:rsidR="005D23AF" w:rsidRPr="00001050" w14:paraId="7D5DC9D3" w14:textId="77777777" w:rsidTr="0012694A">
        <w:tc>
          <w:tcPr>
            <w:tcW w:w="1885" w:type="dxa"/>
            <w:vMerge/>
            <w:shd w:val="clear" w:color="auto" w:fill="D5DCE4" w:themeFill="text2" w:themeFillTint="33"/>
          </w:tcPr>
          <w:p w14:paraId="689CF194" w14:textId="77777777" w:rsidR="005D23AF" w:rsidRPr="00A97A47" w:rsidRDefault="005D23AF" w:rsidP="000B7344">
            <w:pPr>
              <w:spacing w:after="5" w:line="248" w:lineRule="auto"/>
              <w:ind w:right="11"/>
              <w:jc w:val="both"/>
              <w:rPr>
                <w:rFonts w:ascii="Calibri" w:eastAsia="Calibri" w:hAnsi="Calibri" w:cs="Calibri"/>
                <w:b/>
                <w:bCs/>
              </w:rPr>
            </w:pPr>
          </w:p>
        </w:tc>
        <w:tc>
          <w:tcPr>
            <w:tcW w:w="7723" w:type="dxa"/>
          </w:tcPr>
          <w:p w14:paraId="67ECAAB5" w14:textId="1C0096C0" w:rsidR="005D23AF" w:rsidRPr="006A7EDF" w:rsidRDefault="005D23AF" w:rsidP="005D23AF">
            <w:pPr>
              <w:spacing w:after="4" w:line="248" w:lineRule="auto"/>
              <w:ind w:left="346" w:right="1622" w:hanging="361"/>
              <w:rPr>
                <w:rFonts w:ascii="Avenir Book" w:eastAsia="Calibri" w:hAnsi="Avenir Book" w:cs="Calibri"/>
              </w:rPr>
            </w:pPr>
            <w:r w:rsidRPr="006A7EDF">
              <w:rPr>
                <w:rFonts w:ascii="Avenir Book" w:eastAsia="Calibri" w:hAnsi="Avenir Book" w:cs="Calibri"/>
              </w:rPr>
              <w:t>Relevant expertise 30%</w:t>
            </w:r>
          </w:p>
        </w:tc>
      </w:tr>
      <w:tr w:rsidR="005D23AF" w:rsidRPr="00001050" w14:paraId="01C47771" w14:textId="77777777" w:rsidTr="0012694A">
        <w:tc>
          <w:tcPr>
            <w:tcW w:w="1885" w:type="dxa"/>
            <w:vMerge/>
            <w:shd w:val="clear" w:color="auto" w:fill="D5DCE4" w:themeFill="text2" w:themeFillTint="33"/>
          </w:tcPr>
          <w:p w14:paraId="1AB475E7" w14:textId="77777777" w:rsidR="005D23AF" w:rsidRPr="00A97A47" w:rsidRDefault="005D23AF" w:rsidP="000B7344">
            <w:pPr>
              <w:spacing w:after="5" w:line="248" w:lineRule="auto"/>
              <w:ind w:right="11"/>
              <w:jc w:val="both"/>
              <w:rPr>
                <w:rFonts w:ascii="Calibri" w:eastAsia="Calibri" w:hAnsi="Calibri" w:cs="Calibri"/>
                <w:b/>
                <w:bCs/>
              </w:rPr>
            </w:pPr>
          </w:p>
        </w:tc>
        <w:tc>
          <w:tcPr>
            <w:tcW w:w="7723" w:type="dxa"/>
          </w:tcPr>
          <w:p w14:paraId="181BE8F3" w14:textId="01F36042" w:rsidR="005D23AF" w:rsidRPr="00BC44AD" w:rsidRDefault="00AC6B9C" w:rsidP="005D23AF">
            <w:pPr>
              <w:spacing w:after="4" w:line="248" w:lineRule="auto"/>
              <w:ind w:left="346" w:right="1622" w:hanging="361"/>
              <w:rPr>
                <w:rFonts w:ascii="Avenir Book" w:eastAsia="Calibri" w:hAnsi="Avenir Book" w:cs="Calibri"/>
                <w:b/>
                <w:bCs/>
              </w:rPr>
            </w:pPr>
            <w:r w:rsidRPr="00BC44AD">
              <w:rPr>
                <w:rFonts w:ascii="Avenir Book" w:eastAsia="Calibri" w:hAnsi="Avenir Book" w:cs="Calibri"/>
                <w:b/>
                <w:bCs/>
              </w:rPr>
              <w:t>Total 100</w:t>
            </w:r>
            <w:r w:rsidR="005D23AF" w:rsidRPr="00BC44AD">
              <w:rPr>
                <w:rFonts w:ascii="Avenir Book" w:eastAsia="Calibri" w:hAnsi="Avenir Book" w:cs="Calibri"/>
                <w:b/>
                <w:bCs/>
              </w:rPr>
              <w:t>%</w:t>
            </w:r>
          </w:p>
        </w:tc>
      </w:tr>
      <w:tr w:rsidR="005D23AF" w:rsidRPr="005D23AF" w14:paraId="052FF9C1" w14:textId="77777777" w:rsidTr="0012694A">
        <w:tc>
          <w:tcPr>
            <w:tcW w:w="1885" w:type="dxa"/>
            <w:vMerge/>
            <w:shd w:val="clear" w:color="auto" w:fill="D5DCE4" w:themeFill="text2" w:themeFillTint="33"/>
          </w:tcPr>
          <w:p w14:paraId="4F0D222F" w14:textId="441DC508" w:rsidR="005D23AF" w:rsidRPr="005D23AF" w:rsidRDefault="005D23AF" w:rsidP="005D23AF">
            <w:pPr>
              <w:spacing w:after="5" w:line="248" w:lineRule="auto"/>
              <w:ind w:right="11"/>
              <w:jc w:val="both"/>
              <w:rPr>
                <w:rFonts w:ascii="Calibri" w:eastAsia="Calibri" w:hAnsi="Calibri" w:cs="Calibri"/>
              </w:rPr>
            </w:pPr>
          </w:p>
        </w:tc>
        <w:tc>
          <w:tcPr>
            <w:tcW w:w="7723" w:type="dxa"/>
          </w:tcPr>
          <w:p w14:paraId="4734A7FF" w14:textId="5D2E8623" w:rsidR="005D23AF" w:rsidRPr="006A7EDF" w:rsidRDefault="005D23AF" w:rsidP="00BC44AD">
            <w:pPr>
              <w:spacing w:after="4" w:line="248" w:lineRule="auto"/>
              <w:ind w:right="2"/>
              <w:jc w:val="both"/>
              <w:rPr>
                <w:rFonts w:ascii="Avenir Book" w:eastAsia="Calibri" w:hAnsi="Avenir Book" w:cs="Calibri"/>
              </w:rPr>
            </w:pPr>
            <w:r w:rsidRPr="006A7EDF">
              <w:rPr>
                <w:rFonts w:ascii="Avenir Book" w:eastAsia="Calibri" w:hAnsi="Avenir Book" w:cs="Calibri"/>
              </w:rPr>
              <w:t xml:space="preserve">At the discretion of GISF, selected vendors may be invited to supply additional information on the contents of their </w:t>
            </w:r>
            <w:r w:rsidR="00396A14" w:rsidRPr="006A7EDF">
              <w:rPr>
                <w:rFonts w:ascii="Avenir Book" w:eastAsia="Calibri" w:hAnsi="Avenir Book" w:cs="Calibri"/>
              </w:rPr>
              <w:t>proposals</w:t>
            </w:r>
            <w:r w:rsidRPr="006A7EDF">
              <w:rPr>
                <w:rFonts w:ascii="Avenir Book" w:eastAsia="Calibri" w:hAnsi="Avenir Book" w:cs="Calibri"/>
              </w:rPr>
              <w:t xml:space="preserve"> during the evaluation period. If no suitable tender is identified, the invitation for tender may be reopened and advertised on a broader level.  </w:t>
            </w:r>
          </w:p>
          <w:p w14:paraId="4A1DBE8C" w14:textId="77777777" w:rsidR="005D23AF" w:rsidRPr="006A7EDF" w:rsidRDefault="005D23AF" w:rsidP="004F033B">
            <w:pPr>
              <w:jc w:val="both"/>
              <w:rPr>
                <w:rFonts w:ascii="Avenir Book" w:eastAsia="Calibri" w:hAnsi="Avenir Book" w:cs="Calibri"/>
              </w:rPr>
            </w:pPr>
            <w:r w:rsidRPr="006A7EDF">
              <w:rPr>
                <w:rFonts w:ascii="Avenir Book" w:eastAsia="Calibri" w:hAnsi="Avenir Book" w:cs="Calibri"/>
              </w:rPr>
              <w:lastRenderedPageBreak/>
              <w:t xml:space="preserve"> </w:t>
            </w:r>
          </w:p>
          <w:p w14:paraId="7223E3B0" w14:textId="77777777" w:rsidR="005D23AF" w:rsidRPr="006A7EDF" w:rsidRDefault="005D23AF" w:rsidP="004F033B">
            <w:pPr>
              <w:spacing w:after="5" w:line="248" w:lineRule="auto"/>
              <w:ind w:left="10" w:right="11" w:hanging="10"/>
              <w:jc w:val="both"/>
              <w:rPr>
                <w:rFonts w:ascii="Avenir Book" w:eastAsia="Calibri" w:hAnsi="Avenir Book" w:cs="Calibri"/>
              </w:rPr>
            </w:pPr>
            <w:r w:rsidRPr="006A7EDF">
              <w:rPr>
                <w:rFonts w:ascii="Avenir Book" w:eastAsia="Calibri" w:hAnsi="Avenir Book" w:cs="Calibri"/>
              </w:rPr>
              <w:t xml:space="preserve">Upon identification of the preferred tender, the selected vendor will meet GISF to finalise the requirements and agree on contract terms.  </w:t>
            </w:r>
          </w:p>
          <w:p w14:paraId="65E2C72E" w14:textId="77777777" w:rsidR="005D23AF" w:rsidRPr="006A7EDF" w:rsidRDefault="005D23AF" w:rsidP="004F033B">
            <w:pPr>
              <w:jc w:val="both"/>
              <w:rPr>
                <w:rFonts w:ascii="Avenir Book" w:eastAsia="Calibri" w:hAnsi="Avenir Book" w:cs="Calibri"/>
              </w:rPr>
            </w:pPr>
            <w:r w:rsidRPr="006A7EDF">
              <w:rPr>
                <w:rFonts w:ascii="Avenir Book" w:eastAsia="Calibri" w:hAnsi="Avenir Book" w:cs="Calibri"/>
              </w:rPr>
              <w:t xml:space="preserve"> </w:t>
            </w:r>
          </w:p>
          <w:p w14:paraId="45E53506" w14:textId="579F5B40" w:rsidR="005D23AF" w:rsidRDefault="005D23AF" w:rsidP="004F033B">
            <w:pPr>
              <w:spacing w:after="5" w:line="248" w:lineRule="auto"/>
              <w:ind w:right="11"/>
              <w:jc w:val="both"/>
              <w:rPr>
                <w:rFonts w:ascii="Calibri" w:eastAsia="Calibri" w:hAnsi="Calibri" w:cs="Calibri"/>
              </w:rPr>
            </w:pPr>
            <w:r w:rsidRPr="006A7EDF">
              <w:rPr>
                <w:rFonts w:ascii="Avenir Book" w:eastAsia="Calibri" w:hAnsi="Avenir Book" w:cs="Calibri"/>
              </w:rPr>
              <w:t xml:space="preserve">Selection and notification of the preferred tender </w:t>
            </w:r>
            <w:r w:rsidR="00396A14" w:rsidRPr="006A7EDF">
              <w:rPr>
                <w:rFonts w:ascii="Avenir Book" w:eastAsia="Calibri" w:hAnsi="Avenir Book" w:cs="Calibri"/>
              </w:rPr>
              <w:t>do</w:t>
            </w:r>
            <w:r w:rsidRPr="006A7EDF">
              <w:rPr>
                <w:rFonts w:ascii="Avenir Book" w:eastAsia="Calibri" w:hAnsi="Avenir Book" w:cs="Calibri"/>
              </w:rPr>
              <w:t xml:space="preserve"> not guarantee that GISF, Childfund International, and the selected vendor are engaged in </w:t>
            </w:r>
            <w:r w:rsidR="00396A14" w:rsidRPr="006A7EDF">
              <w:rPr>
                <w:rFonts w:ascii="Avenir Book" w:eastAsia="Calibri" w:hAnsi="Avenir Book" w:cs="Calibri"/>
              </w:rPr>
              <w:t xml:space="preserve">a </w:t>
            </w:r>
            <w:r w:rsidRPr="006A7EDF">
              <w:rPr>
                <w:rFonts w:ascii="Avenir Book" w:eastAsia="Calibri" w:hAnsi="Avenir Book" w:cs="Calibri"/>
              </w:rPr>
              <w:t xml:space="preserve">contract </w:t>
            </w:r>
            <w:r w:rsidR="00396A14" w:rsidRPr="006A7EDF">
              <w:rPr>
                <w:rFonts w:ascii="Avenir Book" w:eastAsia="Calibri" w:hAnsi="Avenir Book" w:cs="Calibri"/>
              </w:rPr>
              <w:t>to procure</w:t>
            </w:r>
            <w:r w:rsidRPr="006A7EDF">
              <w:rPr>
                <w:rFonts w:ascii="Avenir Book" w:eastAsia="Calibri" w:hAnsi="Avenir Book" w:cs="Calibri"/>
              </w:rPr>
              <w:t xml:space="preserve"> the goods and services.</w:t>
            </w:r>
            <w:r>
              <w:rPr>
                <w:rFonts w:ascii="Calibri" w:eastAsia="Calibri" w:hAnsi="Calibri" w:cs="Calibri"/>
              </w:rPr>
              <w:t xml:space="preserve">  </w:t>
            </w:r>
          </w:p>
        </w:tc>
      </w:tr>
      <w:tr w:rsidR="005D23AF" w:rsidRPr="005D23AF" w14:paraId="77F0EE62" w14:textId="77777777" w:rsidTr="0012694A">
        <w:tc>
          <w:tcPr>
            <w:tcW w:w="1885" w:type="dxa"/>
            <w:shd w:val="clear" w:color="auto" w:fill="D5DCE4" w:themeFill="text2" w:themeFillTint="33"/>
          </w:tcPr>
          <w:p w14:paraId="2AC8079B" w14:textId="73CC863A" w:rsidR="005D23AF" w:rsidRDefault="005D23AF" w:rsidP="005D23AF">
            <w:pPr>
              <w:spacing w:after="5" w:line="248" w:lineRule="auto"/>
              <w:ind w:left="356" w:right="11" w:hanging="10"/>
              <w:jc w:val="both"/>
            </w:pPr>
            <w:r>
              <w:rPr>
                <w:rFonts w:ascii="Calibri" w:eastAsia="Calibri" w:hAnsi="Calibri" w:cs="Calibri"/>
              </w:rPr>
              <w:lastRenderedPageBreak/>
              <w:t xml:space="preserve">Contract Conditions and Payment Terms  </w:t>
            </w:r>
          </w:p>
          <w:p w14:paraId="478F0BB8" w14:textId="77777777" w:rsidR="005D23AF" w:rsidRPr="005D23AF" w:rsidRDefault="005D23AF" w:rsidP="005D23AF">
            <w:pPr>
              <w:spacing w:after="5" w:line="248" w:lineRule="auto"/>
              <w:ind w:right="11"/>
              <w:jc w:val="both"/>
              <w:rPr>
                <w:rFonts w:ascii="Calibri" w:eastAsia="Calibri" w:hAnsi="Calibri" w:cs="Calibri"/>
              </w:rPr>
            </w:pPr>
          </w:p>
        </w:tc>
        <w:tc>
          <w:tcPr>
            <w:tcW w:w="7723" w:type="dxa"/>
          </w:tcPr>
          <w:p w14:paraId="5D68D679" w14:textId="114FBE29" w:rsidR="005D23AF" w:rsidRPr="006A7EDF" w:rsidRDefault="005D23AF" w:rsidP="005D23AF">
            <w:pPr>
              <w:spacing w:line="256" w:lineRule="auto"/>
              <w:rPr>
                <w:rFonts w:ascii="Avenir Book" w:hAnsi="Avenir Book"/>
              </w:rPr>
            </w:pPr>
            <w:r w:rsidRPr="006A7EDF">
              <w:rPr>
                <w:rFonts w:ascii="Avenir Book" w:eastAsia="Calibri" w:hAnsi="Avenir Book" w:cs="Calibri"/>
              </w:rPr>
              <w:t xml:space="preserve">Upon confirmation of the successful tender, </w:t>
            </w:r>
            <w:r w:rsidR="00AC6B9C" w:rsidRPr="006A7EDF">
              <w:rPr>
                <w:rFonts w:ascii="Avenir Book" w:eastAsia="Calibri" w:hAnsi="Avenir Book" w:cs="Calibri"/>
              </w:rPr>
              <w:t>t</w:t>
            </w:r>
            <w:r w:rsidRPr="006A7EDF">
              <w:rPr>
                <w:rFonts w:ascii="Avenir Book" w:eastAsia="Calibri" w:hAnsi="Avenir Book" w:cs="Calibri"/>
              </w:rPr>
              <w:t>he chosen vendor will sign</w:t>
            </w:r>
            <w:r w:rsidR="00AC6B9C" w:rsidRPr="006A7EDF">
              <w:rPr>
                <w:rFonts w:ascii="Avenir Book" w:eastAsia="Calibri" w:hAnsi="Avenir Book" w:cs="Calibri"/>
              </w:rPr>
              <w:t xml:space="preserve"> a contract</w:t>
            </w:r>
            <w:r w:rsidRPr="006A7EDF">
              <w:rPr>
                <w:rFonts w:ascii="Avenir Book" w:eastAsia="Calibri" w:hAnsi="Avenir Book" w:cs="Calibri"/>
              </w:rPr>
              <w:t xml:space="preserve"> with </w:t>
            </w:r>
            <w:r w:rsidRPr="006A7EDF">
              <w:rPr>
                <w:rFonts w:ascii="Avenir Book" w:eastAsia="Calibri" w:hAnsi="Avenir Book" w:cs="Calibri"/>
                <w:b/>
                <w:bCs/>
              </w:rPr>
              <w:t>Childfund International</w:t>
            </w:r>
            <w:r w:rsidRPr="006A7EDF">
              <w:rPr>
                <w:rFonts w:ascii="Avenir Book" w:eastAsia="Calibri" w:hAnsi="Avenir Book" w:cs="Calibri"/>
              </w:rPr>
              <w:t xml:space="preserve"> according to its internal procedures, </w:t>
            </w:r>
            <w:r w:rsidR="004F033B" w:rsidRPr="006A7EDF">
              <w:rPr>
                <w:rFonts w:ascii="Avenir Book" w:eastAsia="Calibri" w:hAnsi="Avenir Book" w:cs="Calibri"/>
              </w:rPr>
              <w:t>policies,</w:t>
            </w:r>
            <w:r w:rsidRPr="006A7EDF">
              <w:rPr>
                <w:rFonts w:ascii="Avenir Book" w:eastAsia="Calibri" w:hAnsi="Avenir Book" w:cs="Calibri"/>
              </w:rPr>
              <w:t xml:space="preserve"> and templates.</w:t>
            </w:r>
          </w:p>
          <w:p w14:paraId="19F8D7EA" w14:textId="77777777" w:rsidR="005D23AF" w:rsidRPr="006A7EDF" w:rsidRDefault="005D23AF" w:rsidP="005D23AF">
            <w:pPr>
              <w:rPr>
                <w:rFonts w:ascii="Avenir Book" w:hAnsi="Avenir Book"/>
              </w:rPr>
            </w:pPr>
            <w:r w:rsidRPr="006A7EDF">
              <w:rPr>
                <w:rFonts w:ascii="Avenir Book" w:eastAsia="Calibri" w:hAnsi="Avenir Book" w:cs="Calibri"/>
              </w:rPr>
              <w:t xml:space="preserve"> </w:t>
            </w:r>
          </w:p>
          <w:p w14:paraId="7A7FEB52" w14:textId="1A5E604A" w:rsidR="005D23AF" w:rsidRPr="006A7EDF" w:rsidRDefault="005D23AF" w:rsidP="00DA3551">
            <w:pPr>
              <w:spacing w:after="5" w:line="248" w:lineRule="auto"/>
              <w:ind w:right="11"/>
              <w:jc w:val="both"/>
              <w:rPr>
                <w:rFonts w:ascii="Avenir Book" w:hAnsi="Avenir Book"/>
              </w:rPr>
            </w:pPr>
            <w:r w:rsidRPr="006A7EDF">
              <w:rPr>
                <w:rFonts w:ascii="Avenir Book" w:eastAsia="Calibri" w:hAnsi="Avenir Book" w:cs="Calibri"/>
              </w:rPr>
              <w:t>Payment</w:t>
            </w:r>
            <w:r w:rsidR="00DA3551" w:rsidRPr="006A7EDF">
              <w:rPr>
                <w:rFonts w:ascii="Avenir Book" w:eastAsia="Calibri" w:hAnsi="Avenir Book" w:cs="Calibri"/>
              </w:rPr>
              <w:t>s</w:t>
            </w:r>
            <w:r w:rsidRPr="006A7EDF">
              <w:rPr>
                <w:rFonts w:ascii="Avenir Book" w:eastAsia="Calibri" w:hAnsi="Avenir Book" w:cs="Calibri"/>
              </w:rPr>
              <w:t xml:space="preserve"> will be made in</w:t>
            </w:r>
            <w:r w:rsidR="00AC6B9C" w:rsidRPr="006A7EDF">
              <w:rPr>
                <w:rFonts w:ascii="Avenir Book" w:eastAsia="Calibri" w:hAnsi="Avenir Book" w:cs="Calibri"/>
              </w:rPr>
              <w:t xml:space="preserve"> US dollars</w:t>
            </w:r>
            <w:r w:rsidRPr="006A7EDF">
              <w:rPr>
                <w:rFonts w:ascii="Avenir Book" w:eastAsia="Calibri" w:hAnsi="Avenir Book" w:cs="Calibri"/>
              </w:rPr>
              <w:t xml:space="preserve">. </w:t>
            </w:r>
          </w:p>
          <w:p w14:paraId="2532EBF6" w14:textId="0C88CF43" w:rsidR="005D23AF" w:rsidRPr="006A7EDF" w:rsidRDefault="005D23AF" w:rsidP="005D23AF">
            <w:pPr>
              <w:rPr>
                <w:rFonts w:ascii="Avenir Book" w:hAnsi="Avenir Book"/>
              </w:rPr>
            </w:pPr>
            <w:r w:rsidRPr="006A7EDF">
              <w:rPr>
                <w:rFonts w:ascii="Avenir Book" w:eastAsia="Calibri" w:hAnsi="Avenir Book" w:cs="Calibri"/>
              </w:rPr>
              <w:t xml:space="preserve"> </w:t>
            </w:r>
          </w:p>
          <w:p w14:paraId="2D92F910" w14:textId="179EFFF9" w:rsidR="005D23AF" w:rsidRPr="006A7EDF" w:rsidRDefault="005D23AF" w:rsidP="005D23AF">
            <w:pPr>
              <w:spacing w:after="5" w:line="248" w:lineRule="auto"/>
              <w:ind w:left="10" w:right="11" w:hanging="10"/>
              <w:jc w:val="both"/>
              <w:rPr>
                <w:rFonts w:ascii="Avenir Book" w:hAnsi="Avenir Book"/>
              </w:rPr>
            </w:pPr>
            <w:r w:rsidRPr="006A7EDF">
              <w:rPr>
                <w:rFonts w:ascii="Avenir Book" w:eastAsia="Calibri" w:hAnsi="Avenir Book" w:cs="Calibri"/>
              </w:rPr>
              <w:t xml:space="preserve">Payment for services will be in </w:t>
            </w:r>
            <w:r w:rsidR="00396A14" w:rsidRPr="006A7EDF">
              <w:rPr>
                <w:rFonts w:ascii="Avenir Book" w:eastAsia="Calibri" w:hAnsi="Avenir Book" w:cs="Calibri"/>
              </w:rPr>
              <w:t>instalments</w:t>
            </w:r>
            <w:r w:rsidRPr="006A7EDF">
              <w:rPr>
                <w:rFonts w:ascii="Avenir Book" w:eastAsia="Calibri" w:hAnsi="Avenir Book" w:cs="Calibri"/>
              </w:rPr>
              <w:t xml:space="preserve"> </w:t>
            </w:r>
            <w:r w:rsidR="00396A14" w:rsidRPr="006A7EDF">
              <w:rPr>
                <w:rFonts w:ascii="Avenir Book" w:eastAsia="Calibri" w:hAnsi="Avenir Book" w:cs="Calibri"/>
              </w:rPr>
              <w:t>depending</w:t>
            </w:r>
            <w:r w:rsidRPr="006A7EDF">
              <w:rPr>
                <w:rFonts w:ascii="Avenir Book" w:eastAsia="Calibri" w:hAnsi="Avenir Book" w:cs="Calibri"/>
              </w:rPr>
              <w:t xml:space="preserve"> on the successful completion of specific milestones:  </w:t>
            </w:r>
          </w:p>
          <w:p w14:paraId="7A69933B" w14:textId="77777777" w:rsidR="005D23AF" w:rsidRPr="006A7EDF" w:rsidRDefault="005D23AF" w:rsidP="005D23AF">
            <w:pPr>
              <w:spacing w:after="26"/>
              <w:ind w:left="721"/>
              <w:rPr>
                <w:rFonts w:ascii="Avenir Book" w:hAnsi="Avenir Book"/>
              </w:rPr>
            </w:pPr>
            <w:r w:rsidRPr="006A7EDF">
              <w:rPr>
                <w:rFonts w:ascii="Avenir Book" w:eastAsia="Calibri" w:hAnsi="Avenir Book" w:cs="Calibri"/>
              </w:rPr>
              <w:t xml:space="preserve"> </w:t>
            </w:r>
          </w:p>
          <w:p w14:paraId="37C75CB3" w14:textId="35FEB402" w:rsidR="00DA3551" w:rsidRPr="006A7EDF" w:rsidRDefault="005D23AF" w:rsidP="004F033B">
            <w:pPr>
              <w:pStyle w:val="ListParagraph"/>
              <w:numPr>
                <w:ilvl w:val="0"/>
                <w:numId w:val="45"/>
              </w:numPr>
              <w:spacing w:after="5" w:line="248" w:lineRule="auto"/>
              <w:ind w:right="1681"/>
              <w:jc w:val="both"/>
              <w:rPr>
                <w:rFonts w:ascii="Avenir Book" w:eastAsia="Calibri" w:hAnsi="Avenir Book" w:cs="Calibri"/>
              </w:rPr>
            </w:pPr>
            <w:r w:rsidRPr="006A7EDF">
              <w:rPr>
                <w:rFonts w:ascii="Avenir Book" w:eastAsia="Calibri" w:hAnsi="Avenir Book" w:cs="Calibri"/>
              </w:rPr>
              <w:t>30% upon the signing of</w:t>
            </w:r>
            <w:r w:rsidR="004F033B" w:rsidRPr="006A7EDF">
              <w:rPr>
                <w:rFonts w:ascii="Avenir Book" w:eastAsia="Calibri" w:hAnsi="Avenir Book" w:cs="Calibri"/>
              </w:rPr>
              <w:t xml:space="preserve"> </w:t>
            </w:r>
            <w:r w:rsidRPr="006A7EDF">
              <w:rPr>
                <w:rFonts w:ascii="Avenir Book" w:eastAsia="Calibri" w:hAnsi="Avenir Book" w:cs="Calibri"/>
              </w:rPr>
              <w:t>the contract.</w:t>
            </w:r>
          </w:p>
          <w:p w14:paraId="7E67B61A" w14:textId="77777777" w:rsidR="00DA3551" w:rsidRPr="006A7EDF" w:rsidRDefault="005D23AF" w:rsidP="004F033B">
            <w:pPr>
              <w:pStyle w:val="ListParagraph"/>
              <w:numPr>
                <w:ilvl w:val="0"/>
                <w:numId w:val="45"/>
              </w:numPr>
              <w:spacing w:after="5" w:line="248" w:lineRule="auto"/>
              <w:ind w:right="1051"/>
              <w:jc w:val="both"/>
              <w:rPr>
                <w:rFonts w:ascii="Avenir Book" w:eastAsia="Calibri" w:hAnsi="Avenir Book" w:cs="Calibri"/>
              </w:rPr>
            </w:pPr>
            <w:r w:rsidRPr="006A7EDF">
              <w:rPr>
                <w:rFonts w:ascii="Avenir Book" w:eastAsia="Calibri" w:hAnsi="Avenir Book" w:cs="Calibri"/>
              </w:rPr>
              <w:t xml:space="preserve">50% after the submission of the second draft.  </w:t>
            </w:r>
          </w:p>
          <w:p w14:paraId="4A11806E" w14:textId="6D13C77E" w:rsidR="005D23AF" w:rsidRPr="006A7EDF" w:rsidRDefault="005D23AF" w:rsidP="004F033B">
            <w:pPr>
              <w:pStyle w:val="ListParagraph"/>
              <w:numPr>
                <w:ilvl w:val="0"/>
                <w:numId w:val="45"/>
              </w:numPr>
              <w:spacing w:after="5" w:line="248" w:lineRule="auto"/>
              <w:ind w:right="601"/>
              <w:jc w:val="both"/>
              <w:rPr>
                <w:rFonts w:ascii="Avenir Book" w:eastAsia="Calibri" w:hAnsi="Avenir Book" w:cs="Calibri"/>
              </w:rPr>
            </w:pPr>
            <w:r w:rsidRPr="006A7EDF">
              <w:rPr>
                <w:rFonts w:ascii="Avenir Book" w:eastAsia="Calibri" w:hAnsi="Avenir Book" w:cs="Calibri"/>
              </w:rPr>
              <w:t xml:space="preserve">20% upon submission and signing </w:t>
            </w:r>
            <w:r w:rsidR="006F13C9" w:rsidRPr="006A7EDF">
              <w:rPr>
                <w:rFonts w:ascii="Avenir Book" w:eastAsia="Calibri" w:hAnsi="Avenir Book" w:cs="Calibri"/>
              </w:rPr>
              <w:t>off</w:t>
            </w:r>
            <w:r w:rsidRPr="006A7EDF">
              <w:rPr>
                <w:rFonts w:ascii="Avenir Book" w:eastAsia="Calibri" w:hAnsi="Avenir Book" w:cs="Calibri"/>
              </w:rPr>
              <w:t xml:space="preserve"> </w:t>
            </w:r>
            <w:r w:rsidR="006F13C9" w:rsidRPr="006A7EDF">
              <w:rPr>
                <w:rFonts w:ascii="Avenir Book" w:eastAsia="Calibri" w:hAnsi="Avenir Book" w:cs="Calibri"/>
              </w:rPr>
              <w:t xml:space="preserve">of </w:t>
            </w:r>
            <w:r w:rsidRPr="006A7EDF">
              <w:rPr>
                <w:rFonts w:ascii="Avenir Book" w:eastAsia="Calibri" w:hAnsi="Avenir Book" w:cs="Calibri"/>
              </w:rPr>
              <w:t xml:space="preserve">the final draft.  </w:t>
            </w:r>
          </w:p>
          <w:p w14:paraId="1C78C578" w14:textId="77777777" w:rsidR="005D23AF" w:rsidRPr="006A7EDF" w:rsidRDefault="005D23AF" w:rsidP="005D23AF">
            <w:pPr>
              <w:rPr>
                <w:rFonts w:ascii="Avenir Book" w:hAnsi="Avenir Book"/>
              </w:rPr>
            </w:pPr>
            <w:r w:rsidRPr="006A7EDF">
              <w:rPr>
                <w:rFonts w:ascii="Avenir Book" w:eastAsia="Calibri" w:hAnsi="Avenir Book" w:cs="Calibri"/>
              </w:rPr>
              <w:t xml:space="preserve"> </w:t>
            </w:r>
          </w:p>
          <w:p w14:paraId="55C16949" w14:textId="1AC6CF64" w:rsidR="005D23AF" w:rsidRPr="006F13C9" w:rsidRDefault="005D23AF" w:rsidP="006F13C9">
            <w:pPr>
              <w:spacing w:after="5" w:line="248" w:lineRule="auto"/>
              <w:ind w:left="10" w:right="11" w:hanging="10"/>
              <w:jc w:val="both"/>
            </w:pPr>
            <w:r w:rsidRPr="006A7EDF">
              <w:rPr>
                <w:rFonts w:ascii="Avenir Book" w:eastAsia="Calibri" w:hAnsi="Avenir Book" w:cs="Calibri"/>
              </w:rPr>
              <w:t>Ownership of the final product will reside with GISF</w:t>
            </w:r>
            <w:r w:rsidR="00396A14" w:rsidRPr="006A7EDF">
              <w:rPr>
                <w:rFonts w:ascii="Avenir Book" w:eastAsia="Calibri" w:hAnsi="Avenir Book" w:cs="Calibri"/>
              </w:rPr>
              <w:t>; this</w:t>
            </w:r>
            <w:r w:rsidRPr="006A7EDF">
              <w:rPr>
                <w:rFonts w:ascii="Avenir Book" w:eastAsia="Calibri" w:hAnsi="Avenir Book" w:cs="Calibri"/>
              </w:rPr>
              <w:t xml:space="preserve"> includes copyrights and patents associated with the product.</w:t>
            </w:r>
            <w:r>
              <w:rPr>
                <w:rFonts w:ascii="Calibri" w:eastAsia="Calibri" w:hAnsi="Calibri" w:cs="Calibri"/>
              </w:rPr>
              <w:t xml:space="preserve">   </w:t>
            </w:r>
          </w:p>
        </w:tc>
      </w:tr>
    </w:tbl>
    <w:p w14:paraId="0C7ADCC8" w14:textId="77777777" w:rsidR="00C47B09" w:rsidRPr="00BC44AD" w:rsidRDefault="00C47B09" w:rsidP="00BC44AD">
      <w:pPr>
        <w:jc w:val="both"/>
        <w:rPr>
          <w:rFonts w:ascii="Avenir Book" w:eastAsiaTheme="minorEastAsia" w:hAnsi="Avenir Book"/>
          <w:lang w:val="en-GB"/>
        </w:rPr>
      </w:pPr>
    </w:p>
    <w:p w14:paraId="2EDCFB98" w14:textId="75AD7479" w:rsidR="00C47B09" w:rsidRPr="00BC44AD" w:rsidRDefault="00C47B09" w:rsidP="00BC44AD">
      <w:pPr>
        <w:jc w:val="both"/>
        <w:rPr>
          <w:rFonts w:ascii="Avenir Book" w:eastAsiaTheme="minorEastAsia" w:hAnsi="Avenir Book"/>
          <w:lang w:val="en-GB"/>
        </w:rPr>
        <w:sectPr w:rsidR="00C47B09" w:rsidRPr="00BC44AD" w:rsidSect="00BC44AD">
          <w:headerReference w:type="even" r:id="rId11"/>
          <w:headerReference w:type="default" r:id="rId12"/>
          <w:footerReference w:type="even" r:id="rId13"/>
          <w:footerReference w:type="default" r:id="rId14"/>
          <w:headerReference w:type="first" r:id="rId15"/>
          <w:footerReference w:type="first" r:id="rId16"/>
          <w:pgSz w:w="11905" w:h="16840"/>
          <w:pgMar w:top="1491" w:right="1431" w:bottom="1592" w:left="1441" w:header="406" w:footer="711" w:gutter="0"/>
          <w:cols w:space="720"/>
          <w:titlePg/>
          <w:docGrid w:linePitch="326"/>
        </w:sectPr>
      </w:pPr>
      <w:r w:rsidRPr="00BC44AD">
        <w:rPr>
          <w:rFonts w:ascii="Avenir Book" w:eastAsiaTheme="minorEastAsia" w:hAnsi="Avenir Book"/>
          <w:lang w:val="en-GB"/>
        </w:rPr>
        <w:t xml:space="preserve">This TOR and solicitation </w:t>
      </w:r>
      <w:r w:rsidR="00BC44AD">
        <w:rPr>
          <w:rFonts w:ascii="Avenir Book" w:eastAsiaTheme="minorEastAsia" w:hAnsi="Avenir Book"/>
          <w:lang w:val="en-GB"/>
        </w:rPr>
        <w:t xml:space="preserve">are </w:t>
      </w:r>
      <w:r w:rsidRPr="00BC44AD">
        <w:rPr>
          <w:rFonts w:ascii="Avenir Book" w:eastAsiaTheme="minorEastAsia" w:hAnsi="Avenir Book"/>
          <w:lang w:val="en-GB"/>
        </w:rPr>
        <w:t>made possible by the generous support of the American people through the United States Agency for International Development (USAID). The contents are the responsibility of ChildFund International USA and do not necessarily reflect the views of</w:t>
      </w:r>
      <w:r w:rsidR="00BC44AD">
        <w:rPr>
          <w:rFonts w:ascii="Avenir Book" w:eastAsiaTheme="minorEastAsia" w:hAnsi="Avenir Book"/>
          <w:lang w:val="en-GB"/>
        </w:rPr>
        <w:t xml:space="preserve"> </w:t>
      </w:r>
      <w:r w:rsidRPr="00BC44AD">
        <w:rPr>
          <w:rFonts w:ascii="Avenir Book" w:eastAsiaTheme="minorEastAsia" w:hAnsi="Avenir Book"/>
          <w:lang w:val="en-GB"/>
        </w:rPr>
        <w:t>USAID or the United States Governmen</w:t>
      </w:r>
      <w:r w:rsidR="00BC44AD">
        <w:rPr>
          <w:rFonts w:ascii="Avenir Book" w:eastAsiaTheme="minorEastAsia" w:hAnsi="Avenir Book"/>
          <w:lang w:val="en-GB"/>
        </w:rPr>
        <w:t>t.</w:t>
      </w:r>
    </w:p>
    <w:p w14:paraId="17DCBCDB" w14:textId="5E22FE5E" w:rsidR="008E61AF" w:rsidRPr="00A0322B" w:rsidRDefault="008E61AF" w:rsidP="00A0322B">
      <w:pPr>
        <w:spacing w:after="35" w:line="267" w:lineRule="auto"/>
        <w:ind w:right="719"/>
      </w:pPr>
    </w:p>
    <w:sectPr w:rsidR="008E61AF" w:rsidRPr="00A0322B">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9F6E" w14:textId="77777777" w:rsidR="002D272D" w:rsidRDefault="002D272D" w:rsidP="0090342D">
      <w:r>
        <w:separator/>
      </w:r>
    </w:p>
  </w:endnote>
  <w:endnote w:type="continuationSeparator" w:id="0">
    <w:p w14:paraId="73C587D4" w14:textId="77777777" w:rsidR="002D272D" w:rsidRDefault="002D272D" w:rsidP="0090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w:panose1 w:val="02000503020000020003"/>
    <w:charset w:val="4D"/>
    <w:family w:val="swiss"/>
    <w:pitch w:val="variable"/>
    <w:sig w:usb0="800000AF" w:usb1="5000204A" w:usb2="00000000" w:usb3="00000000" w:csb0="0000009B" w:csb1="00000000"/>
  </w:font>
  <w:font w:name="Times New Roman (Body CS)">
    <w:altName w:val="Times New Roman"/>
    <w:panose1 w:val="020B0604020202020204"/>
    <w:charset w:val="00"/>
    <w:family w:val="roman"/>
    <w:pitch w:val="default"/>
  </w:font>
  <w:font w:name="league_spartanbold">
    <w:altName w:val="Cambria"/>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01A0" w14:textId="77777777" w:rsidR="008E61AF" w:rsidRDefault="008E61AF">
    <w:pPr>
      <w:tabs>
        <w:tab w:val="center" w:pos="4513"/>
      </w:tabs>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A6E3" w14:textId="77777777" w:rsidR="008E61AF" w:rsidRDefault="008E61AF">
    <w:pPr>
      <w:tabs>
        <w:tab w:val="center" w:pos="4513"/>
      </w:tabs>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D3E4" w14:textId="77777777" w:rsidR="008E61AF" w:rsidRDefault="008E61AF">
    <w:pPr>
      <w:tabs>
        <w:tab w:val="center" w:pos="4513"/>
      </w:tabs>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fldChar w:fldCharType="end"/>
    </w: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1509274"/>
      <w:docPartObj>
        <w:docPartGallery w:val="Page Numbers (Bottom of Page)"/>
        <w:docPartUnique/>
      </w:docPartObj>
    </w:sdtPr>
    <w:sdtContent>
      <w:p w14:paraId="1ADB3579" w14:textId="007FCE40" w:rsidR="0090342D" w:rsidRDefault="0090342D" w:rsidP="00217B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B48EE9" w14:textId="77777777" w:rsidR="0090342D" w:rsidRDefault="0090342D" w:rsidP="0090342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920424"/>
      <w:docPartObj>
        <w:docPartGallery w:val="Page Numbers (Bottom of Page)"/>
        <w:docPartUnique/>
      </w:docPartObj>
    </w:sdtPr>
    <w:sdtContent>
      <w:p w14:paraId="4734261B" w14:textId="7DBD453D" w:rsidR="0090342D" w:rsidRDefault="0090342D" w:rsidP="00217B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E46645" w14:textId="77777777" w:rsidR="0090342D" w:rsidRDefault="0090342D" w:rsidP="009034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F2A1" w14:textId="77777777" w:rsidR="002D272D" w:rsidRDefault="002D272D" w:rsidP="0090342D">
      <w:r>
        <w:separator/>
      </w:r>
    </w:p>
  </w:footnote>
  <w:footnote w:type="continuationSeparator" w:id="0">
    <w:p w14:paraId="015B849D" w14:textId="77777777" w:rsidR="002D272D" w:rsidRDefault="002D272D" w:rsidP="00903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76A0" w14:textId="77777777" w:rsidR="008E61AF" w:rsidRDefault="008E61AF">
    <w:pPr>
      <w:ind w:left="-583"/>
    </w:pPr>
    <w:r>
      <w:rPr>
        <w:noProof/>
      </w:rPr>
      <w:drawing>
        <wp:anchor distT="0" distB="0" distL="114300" distR="114300" simplePos="0" relativeHeight="251659264" behindDoc="0" locked="0" layoutInCell="1" allowOverlap="0" wp14:anchorId="6BEF02C4" wp14:editId="4B4A1655">
          <wp:simplePos x="0" y="0"/>
          <wp:positionH relativeFrom="page">
            <wp:posOffset>544830</wp:posOffset>
          </wp:positionH>
          <wp:positionV relativeFrom="page">
            <wp:posOffset>257810</wp:posOffset>
          </wp:positionV>
          <wp:extent cx="790575" cy="790575"/>
          <wp:effectExtent l="0" t="0" r="0" b="0"/>
          <wp:wrapSquare wrapText="bothSides"/>
          <wp:docPr id="224" name="Picture 224"/>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1"/>
                  <a:stretch>
                    <a:fillRect/>
                  </a:stretch>
                </pic:blipFill>
                <pic:spPr>
                  <a:xfrm>
                    <a:off x="0" y="0"/>
                    <a:ext cx="790575" cy="790575"/>
                  </a:xfrm>
                  <a:prstGeom prst="rect">
                    <a:avLst/>
                  </a:prstGeom>
                </pic:spPr>
              </pic:pic>
            </a:graphicData>
          </a:graphic>
        </wp:anchor>
      </w:drawing>
    </w:r>
    <w:r>
      <w:rPr>
        <w:rFonts w:ascii="Calibri" w:eastAsia="Calibri" w:hAnsi="Calibri" w:cs="Calibri"/>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3E57" w14:textId="3DBEF7F2" w:rsidR="008E61AF" w:rsidRDefault="008E61AF">
    <w:pPr>
      <w:ind w:left="-583"/>
    </w:pPr>
    <w:r>
      <w:rPr>
        <w:rFonts w:ascii="Calibri" w:eastAsia="Calibri" w:hAnsi="Calibri" w:cs="Calibri"/>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1848" w14:textId="5C11E302" w:rsidR="008E61AF" w:rsidRDefault="008E61AF">
    <w:pPr>
      <w:ind w:left="-583"/>
    </w:pPr>
    <w:r>
      <w:rPr>
        <w:noProof/>
      </w:rPr>
      <w:drawing>
        <wp:anchor distT="0" distB="0" distL="114300" distR="114300" simplePos="0" relativeHeight="251661312" behindDoc="0" locked="0" layoutInCell="1" allowOverlap="0" wp14:anchorId="5884F63F" wp14:editId="3F79811F">
          <wp:simplePos x="0" y="0"/>
          <wp:positionH relativeFrom="page">
            <wp:posOffset>5961380</wp:posOffset>
          </wp:positionH>
          <wp:positionV relativeFrom="page">
            <wp:posOffset>73660</wp:posOffset>
          </wp:positionV>
          <wp:extent cx="790575" cy="7905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1"/>
                  <a:stretch>
                    <a:fillRect/>
                  </a:stretch>
                </pic:blipFill>
                <pic:spPr>
                  <a:xfrm>
                    <a:off x="0" y="0"/>
                    <a:ext cx="790575" cy="790575"/>
                  </a:xfrm>
                  <a:prstGeom prst="rect">
                    <a:avLst/>
                  </a:prstGeom>
                </pic:spPr>
              </pic:pic>
            </a:graphicData>
          </a:graphic>
        </wp:anchor>
      </w:drawing>
    </w:r>
    <w:r>
      <w:rPr>
        <w:rFonts w:ascii="Calibri" w:eastAsia="Calibri" w:hAnsi="Calibri" w:cs="Calibri"/>
      </w:rPr>
      <w:tab/>
      <w:t xml:space="preserve"> </w:t>
    </w:r>
    <w:r w:rsidR="00B7546A">
      <w:rPr>
        <w:noProof/>
      </w:rPr>
      <w:drawing>
        <wp:inline distT="0" distB="0" distL="0" distR="0" wp14:anchorId="353E9CE4" wp14:editId="1A3B3EBA">
          <wp:extent cx="1835150" cy="557759"/>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39439" cy="5590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60996"/>
    <w:multiLevelType w:val="hybridMultilevel"/>
    <w:tmpl w:val="000C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11EF3"/>
    <w:multiLevelType w:val="hybridMultilevel"/>
    <w:tmpl w:val="14F661AC"/>
    <w:lvl w:ilvl="0" w:tplc="6080661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C3B36"/>
    <w:multiLevelType w:val="hybridMultilevel"/>
    <w:tmpl w:val="AFA8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E2E85"/>
    <w:multiLevelType w:val="hybridMultilevel"/>
    <w:tmpl w:val="9C52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72A1D"/>
    <w:multiLevelType w:val="hybridMultilevel"/>
    <w:tmpl w:val="718A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C4349"/>
    <w:multiLevelType w:val="hybridMultilevel"/>
    <w:tmpl w:val="90E2A50C"/>
    <w:lvl w:ilvl="0" w:tplc="8DB291DC">
      <w:numFmt w:val="bullet"/>
      <w:lvlText w:val=""/>
      <w:lvlJc w:val="left"/>
      <w:pPr>
        <w:ind w:left="720" w:hanging="360"/>
      </w:pPr>
      <w:rPr>
        <w:rFonts w:ascii="Symbol" w:eastAsiaTheme="minorEastAsia" w:hAnsi="Symbol" w:cstheme="majorHAnsi" w:hint="default"/>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EF7DD5"/>
    <w:multiLevelType w:val="hybridMultilevel"/>
    <w:tmpl w:val="51C8DF34"/>
    <w:lvl w:ilvl="0" w:tplc="440CE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30826"/>
    <w:multiLevelType w:val="hybridMultilevel"/>
    <w:tmpl w:val="3EC4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E07FC1"/>
    <w:multiLevelType w:val="hybridMultilevel"/>
    <w:tmpl w:val="A9EC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BA6B06"/>
    <w:multiLevelType w:val="hybridMultilevel"/>
    <w:tmpl w:val="B9E4CE64"/>
    <w:lvl w:ilvl="0" w:tplc="FFFFFFFF">
      <w:start w:val="1"/>
      <w:numFmt w:val="decimal"/>
      <w:lvlText w:val="%1."/>
      <w:lvlJc w:val="left"/>
      <w:pPr>
        <w:ind w:left="720" w:hanging="360"/>
      </w:pPr>
      <w:rPr>
        <w:rFonts w:asciiTheme="minorHAnsi" w:eastAsiaTheme="minorHAnsi" w:hAnsiTheme="minorHAnsi" w:cstheme="minorBidi"/>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C2A331E"/>
    <w:multiLevelType w:val="hybridMultilevel"/>
    <w:tmpl w:val="0FA235C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21B28DB"/>
    <w:multiLevelType w:val="hybridMultilevel"/>
    <w:tmpl w:val="A12C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81680"/>
    <w:multiLevelType w:val="hybridMultilevel"/>
    <w:tmpl w:val="A15A9B96"/>
    <w:lvl w:ilvl="0" w:tplc="607CD190">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32DF56">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C4733C">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D60E3E">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E6D7A0">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7A8F42">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069504">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042BE6">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1E9CF8">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288024C"/>
    <w:multiLevelType w:val="hybridMultilevel"/>
    <w:tmpl w:val="4404CC6A"/>
    <w:lvl w:ilvl="0" w:tplc="B53E8D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5D4FCA"/>
    <w:multiLevelType w:val="hybridMultilevel"/>
    <w:tmpl w:val="D8469532"/>
    <w:lvl w:ilvl="0" w:tplc="54941DE2">
      <w:numFmt w:val="bullet"/>
      <w:lvlText w:val="-"/>
      <w:lvlJc w:val="left"/>
      <w:pPr>
        <w:ind w:left="720" w:hanging="360"/>
      </w:pPr>
      <w:rPr>
        <w:rFonts w:ascii="Avenir Book" w:eastAsiaTheme="minorEastAsia" w:hAnsi="Avenir Book" w:cstheme="maj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5122D"/>
    <w:multiLevelType w:val="hybridMultilevel"/>
    <w:tmpl w:val="E5348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2341F6"/>
    <w:multiLevelType w:val="hybridMultilevel"/>
    <w:tmpl w:val="5F2C8E5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37AD2A38"/>
    <w:multiLevelType w:val="hybridMultilevel"/>
    <w:tmpl w:val="B370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64971"/>
    <w:multiLevelType w:val="hybridMultilevel"/>
    <w:tmpl w:val="97B20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1D5E1C"/>
    <w:multiLevelType w:val="hybridMultilevel"/>
    <w:tmpl w:val="68249E16"/>
    <w:lvl w:ilvl="0" w:tplc="1B12C7DA">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A62C14">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1E411E">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D64864">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046D7C">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D6670E">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503CF0">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BC839A">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8E7AAA">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CFD75B1"/>
    <w:multiLevelType w:val="hybridMultilevel"/>
    <w:tmpl w:val="9A343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6B3221"/>
    <w:multiLevelType w:val="hybridMultilevel"/>
    <w:tmpl w:val="0FA235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D47A09"/>
    <w:multiLevelType w:val="hybridMultilevel"/>
    <w:tmpl w:val="EAB0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762CEA"/>
    <w:multiLevelType w:val="hybridMultilevel"/>
    <w:tmpl w:val="6A663FA6"/>
    <w:lvl w:ilvl="0" w:tplc="AC663472">
      <w:start w:val="1"/>
      <w:numFmt w:val="decimal"/>
      <w:lvlText w:val="%1."/>
      <w:lvlJc w:val="left"/>
      <w:pPr>
        <w:ind w:left="1080" w:hanging="360"/>
      </w:pPr>
      <w:rPr>
        <w:rFonts w:asciiTheme="majorHAnsi" w:hAnsiTheme="majorHAnsi" w:cstheme="majorHAns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4062DF"/>
    <w:multiLevelType w:val="hybridMultilevel"/>
    <w:tmpl w:val="C5B8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94094"/>
    <w:multiLevelType w:val="multilevel"/>
    <w:tmpl w:val="3966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4935AF"/>
    <w:multiLevelType w:val="hybridMultilevel"/>
    <w:tmpl w:val="6BE6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5E52DA"/>
    <w:multiLevelType w:val="hybridMultilevel"/>
    <w:tmpl w:val="59FED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7D39B8"/>
    <w:multiLevelType w:val="hybridMultilevel"/>
    <w:tmpl w:val="271251C0"/>
    <w:lvl w:ilvl="0" w:tplc="FFFFFFFF">
      <w:start w:val="1"/>
      <w:numFmt w:val="decimal"/>
      <w:lvlText w:val="%1."/>
      <w:lvlJc w:val="left"/>
      <w:pPr>
        <w:ind w:left="720" w:hanging="360"/>
      </w:pPr>
      <w:rPr>
        <w:rFonts w:asciiTheme="minorHAnsi" w:eastAsiaTheme="minorHAnsi" w:hAnsiTheme="minorHAnsi" w:cstheme="minorBidi"/>
        <w:b/>
        <w:b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1AE5035"/>
    <w:multiLevelType w:val="hybridMultilevel"/>
    <w:tmpl w:val="A1EA18C2"/>
    <w:lvl w:ilvl="0" w:tplc="31E2352A">
      <w:start w:val="4"/>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A41592">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A423D8">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641236">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2EC000">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5EC9B2">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C61C30">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F624E2">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46CD90">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440606B"/>
    <w:multiLevelType w:val="hybridMultilevel"/>
    <w:tmpl w:val="F8929864"/>
    <w:lvl w:ilvl="0" w:tplc="E73C8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F22054"/>
    <w:multiLevelType w:val="hybridMultilevel"/>
    <w:tmpl w:val="C68ED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0B2E2C"/>
    <w:multiLevelType w:val="hybridMultilevel"/>
    <w:tmpl w:val="1BE21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556660"/>
    <w:multiLevelType w:val="hybridMultilevel"/>
    <w:tmpl w:val="921A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A462DD"/>
    <w:multiLevelType w:val="hybridMultilevel"/>
    <w:tmpl w:val="A9F6D90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D2822BE"/>
    <w:multiLevelType w:val="hybridMultilevel"/>
    <w:tmpl w:val="0D70D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430BFE"/>
    <w:multiLevelType w:val="hybridMultilevel"/>
    <w:tmpl w:val="95F8F82A"/>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8" w15:restartNumberingAfterBreak="0">
    <w:nsid w:val="62BD374E"/>
    <w:multiLevelType w:val="hybridMultilevel"/>
    <w:tmpl w:val="EC62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B9291A"/>
    <w:multiLevelType w:val="hybridMultilevel"/>
    <w:tmpl w:val="216218F4"/>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0" w15:restartNumberingAfterBreak="0">
    <w:nsid w:val="71017569"/>
    <w:multiLevelType w:val="hybridMultilevel"/>
    <w:tmpl w:val="A9F6D904"/>
    <w:lvl w:ilvl="0" w:tplc="729AEF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0B658D"/>
    <w:multiLevelType w:val="hybridMultilevel"/>
    <w:tmpl w:val="3E6A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142E96"/>
    <w:multiLevelType w:val="hybridMultilevel"/>
    <w:tmpl w:val="E508F90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3" w15:restartNumberingAfterBreak="0">
    <w:nsid w:val="72811541"/>
    <w:multiLevelType w:val="hybridMultilevel"/>
    <w:tmpl w:val="8B70F3E8"/>
    <w:lvl w:ilvl="0" w:tplc="A2E2424E">
      <w:start w:val="1"/>
      <w:numFmt w:val="decimal"/>
      <w:lvlText w:val="%1."/>
      <w:lvlJc w:val="left"/>
      <w:pPr>
        <w:ind w:left="720" w:hanging="360"/>
      </w:pPr>
      <w:rPr>
        <w:rFonts w:asciiTheme="minorHAnsi" w:eastAsiaTheme="minorHAnsi" w:hAnsiTheme="minorHAnsi" w:cstheme="minorBidi"/>
        <w:b/>
        <w:b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2811774"/>
    <w:multiLevelType w:val="hybridMultilevel"/>
    <w:tmpl w:val="271251C0"/>
    <w:lvl w:ilvl="0" w:tplc="C518B620">
      <w:start w:val="1"/>
      <w:numFmt w:val="decimal"/>
      <w:lvlText w:val="%1."/>
      <w:lvlJc w:val="left"/>
      <w:pPr>
        <w:ind w:left="720" w:hanging="360"/>
      </w:pPr>
      <w:rPr>
        <w:rFonts w:asciiTheme="minorHAnsi" w:eastAsiaTheme="minorHAnsi" w:hAnsiTheme="minorHAnsi" w:cstheme="minorBidi"/>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1F78DE"/>
    <w:multiLevelType w:val="hybridMultilevel"/>
    <w:tmpl w:val="0FA235C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A2536B9"/>
    <w:multiLevelType w:val="hybridMultilevel"/>
    <w:tmpl w:val="0E900D5C"/>
    <w:lvl w:ilvl="0" w:tplc="E2542B62">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0629C2">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1A5B22">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6664CA">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56CB78">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B40AF8">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5494CE">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EC5308">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985FEA">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140654365">
    <w:abstractNumId w:val="8"/>
  </w:num>
  <w:num w:numId="2" w16cid:durableId="715159410">
    <w:abstractNumId w:val="7"/>
  </w:num>
  <w:num w:numId="3" w16cid:durableId="2142572675">
    <w:abstractNumId w:val="28"/>
  </w:num>
  <w:num w:numId="4" w16cid:durableId="1373074884">
    <w:abstractNumId w:val="4"/>
  </w:num>
  <w:num w:numId="5" w16cid:durableId="1210148524">
    <w:abstractNumId w:val="33"/>
  </w:num>
  <w:num w:numId="6" w16cid:durableId="1934629247">
    <w:abstractNumId w:val="44"/>
  </w:num>
  <w:num w:numId="7" w16cid:durableId="2064058977">
    <w:abstractNumId w:val="38"/>
  </w:num>
  <w:num w:numId="8" w16cid:durableId="1831478578">
    <w:abstractNumId w:val="36"/>
  </w:num>
  <w:num w:numId="9" w16cid:durableId="1092244149">
    <w:abstractNumId w:val="32"/>
  </w:num>
  <w:num w:numId="10" w16cid:durableId="1152454041">
    <w:abstractNumId w:val="12"/>
  </w:num>
  <w:num w:numId="11" w16cid:durableId="1524779061">
    <w:abstractNumId w:val="16"/>
  </w:num>
  <w:num w:numId="12" w16cid:durableId="1347362679">
    <w:abstractNumId w:val="22"/>
  </w:num>
  <w:num w:numId="13" w16cid:durableId="1578203640">
    <w:abstractNumId w:val="19"/>
  </w:num>
  <w:num w:numId="14" w16cid:durableId="1633901303">
    <w:abstractNumId w:val="21"/>
  </w:num>
  <w:num w:numId="15" w16cid:durableId="680818821">
    <w:abstractNumId w:val="26"/>
  </w:num>
  <w:num w:numId="16" w16cid:durableId="593443471">
    <w:abstractNumId w:val="0"/>
  </w:num>
  <w:num w:numId="17" w16cid:durableId="679234240">
    <w:abstractNumId w:val="31"/>
  </w:num>
  <w:num w:numId="18" w16cid:durableId="513037836">
    <w:abstractNumId w:val="24"/>
  </w:num>
  <w:num w:numId="19" w16cid:durableId="1526207573">
    <w:abstractNumId w:val="2"/>
  </w:num>
  <w:num w:numId="20" w16cid:durableId="311100427">
    <w:abstractNumId w:val="43"/>
  </w:num>
  <w:num w:numId="21" w16cid:durableId="494340129">
    <w:abstractNumId w:val="10"/>
  </w:num>
  <w:num w:numId="22" w16cid:durableId="1472867641">
    <w:abstractNumId w:val="3"/>
  </w:num>
  <w:num w:numId="23" w16cid:durableId="580213505">
    <w:abstractNumId w:val="1"/>
  </w:num>
  <w:num w:numId="24" w16cid:durableId="59403636">
    <w:abstractNumId w:val="5"/>
  </w:num>
  <w:num w:numId="25" w16cid:durableId="1378819698">
    <w:abstractNumId w:val="18"/>
  </w:num>
  <w:num w:numId="26" w16cid:durableId="903494390">
    <w:abstractNumId w:val="27"/>
  </w:num>
  <w:num w:numId="27" w16cid:durableId="1136869831">
    <w:abstractNumId w:val="40"/>
  </w:num>
  <w:num w:numId="28" w16cid:durableId="373235368">
    <w:abstractNumId w:val="35"/>
  </w:num>
  <w:num w:numId="29" w16cid:durableId="1079794722">
    <w:abstractNumId w:val="14"/>
  </w:num>
  <w:num w:numId="30" w16cid:durableId="929238516">
    <w:abstractNumId w:val="45"/>
  </w:num>
  <w:num w:numId="31" w16cid:durableId="1399816060">
    <w:abstractNumId w:val="11"/>
  </w:num>
  <w:num w:numId="32" w16cid:durableId="855581895">
    <w:abstractNumId w:val="9"/>
  </w:num>
  <w:num w:numId="33" w16cid:durableId="2033533778">
    <w:abstractNumId w:val="42"/>
  </w:num>
  <w:num w:numId="34" w16cid:durableId="32735191">
    <w:abstractNumId w:val="29"/>
  </w:num>
  <w:num w:numId="35" w16cid:durableId="1901474813">
    <w:abstractNumId w:val="15"/>
  </w:num>
  <w:num w:numId="36" w16cid:durableId="1280259535">
    <w:abstractNumId w:val="41"/>
  </w:num>
  <w:num w:numId="37" w16cid:durableId="949047703">
    <w:abstractNumId w:val="23"/>
  </w:num>
  <w:num w:numId="38" w16cid:durableId="2038894030">
    <w:abstractNumId w:val="6"/>
  </w:num>
  <w:num w:numId="39" w16cid:durableId="1697272486">
    <w:abstractNumId w:val="46"/>
  </w:num>
  <w:num w:numId="40" w16cid:durableId="1984236604">
    <w:abstractNumId w:val="13"/>
  </w:num>
  <w:num w:numId="41" w16cid:durableId="50885777">
    <w:abstractNumId w:val="20"/>
  </w:num>
  <w:num w:numId="42" w16cid:durableId="1066953800">
    <w:abstractNumId w:val="30"/>
  </w:num>
  <w:num w:numId="43" w16cid:durableId="555239487">
    <w:abstractNumId w:val="37"/>
  </w:num>
  <w:num w:numId="44" w16cid:durableId="1755201064">
    <w:abstractNumId w:val="17"/>
  </w:num>
  <w:num w:numId="45" w16cid:durableId="1825507924">
    <w:abstractNumId w:val="39"/>
  </w:num>
  <w:num w:numId="46" w16cid:durableId="1913612633">
    <w:abstractNumId w:val="25"/>
  </w:num>
  <w:num w:numId="47" w16cid:durableId="88109551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F8"/>
    <w:rsid w:val="00001050"/>
    <w:rsid w:val="00012C8F"/>
    <w:rsid w:val="00017920"/>
    <w:rsid w:val="000213BA"/>
    <w:rsid w:val="000262EC"/>
    <w:rsid w:val="00035D30"/>
    <w:rsid w:val="00055F63"/>
    <w:rsid w:val="0005688E"/>
    <w:rsid w:val="000664B4"/>
    <w:rsid w:val="000679CA"/>
    <w:rsid w:val="00074D2E"/>
    <w:rsid w:val="00075910"/>
    <w:rsid w:val="000A558E"/>
    <w:rsid w:val="000A5B01"/>
    <w:rsid w:val="000A661B"/>
    <w:rsid w:val="000B72D5"/>
    <w:rsid w:val="000C3610"/>
    <w:rsid w:val="000C3AF8"/>
    <w:rsid w:val="000D7652"/>
    <w:rsid w:val="000E1784"/>
    <w:rsid w:val="001015DB"/>
    <w:rsid w:val="001031E5"/>
    <w:rsid w:val="00103DEA"/>
    <w:rsid w:val="00105299"/>
    <w:rsid w:val="0010641E"/>
    <w:rsid w:val="0012694A"/>
    <w:rsid w:val="001372E6"/>
    <w:rsid w:val="0015261E"/>
    <w:rsid w:val="00166A1C"/>
    <w:rsid w:val="0017567C"/>
    <w:rsid w:val="001B3063"/>
    <w:rsid w:val="001B34A1"/>
    <w:rsid w:val="001E268B"/>
    <w:rsid w:val="001E5381"/>
    <w:rsid w:val="001E5EF3"/>
    <w:rsid w:val="001F4CFF"/>
    <w:rsid w:val="001F61BF"/>
    <w:rsid w:val="001F65D4"/>
    <w:rsid w:val="00205E4F"/>
    <w:rsid w:val="002212DE"/>
    <w:rsid w:val="0022734F"/>
    <w:rsid w:val="00234F25"/>
    <w:rsid w:val="0024473A"/>
    <w:rsid w:val="00245219"/>
    <w:rsid w:val="00247845"/>
    <w:rsid w:val="00250091"/>
    <w:rsid w:val="002868CC"/>
    <w:rsid w:val="00291A52"/>
    <w:rsid w:val="002A24C2"/>
    <w:rsid w:val="002C0D6F"/>
    <w:rsid w:val="002C5B05"/>
    <w:rsid w:val="002D272D"/>
    <w:rsid w:val="002F109A"/>
    <w:rsid w:val="0032057E"/>
    <w:rsid w:val="003452D6"/>
    <w:rsid w:val="00345D78"/>
    <w:rsid w:val="003522CE"/>
    <w:rsid w:val="00357A30"/>
    <w:rsid w:val="003664BA"/>
    <w:rsid w:val="00396A14"/>
    <w:rsid w:val="00396FF4"/>
    <w:rsid w:val="003A2C15"/>
    <w:rsid w:val="003A4D1F"/>
    <w:rsid w:val="003B07FC"/>
    <w:rsid w:val="003C1ADC"/>
    <w:rsid w:val="003D020B"/>
    <w:rsid w:val="003E0D57"/>
    <w:rsid w:val="003E178A"/>
    <w:rsid w:val="003F2EFF"/>
    <w:rsid w:val="00403E2B"/>
    <w:rsid w:val="004044AF"/>
    <w:rsid w:val="00417BBD"/>
    <w:rsid w:val="004303FA"/>
    <w:rsid w:val="0043546A"/>
    <w:rsid w:val="00437335"/>
    <w:rsid w:val="00457A22"/>
    <w:rsid w:val="00482F8C"/>
    <w:rsid w:val="004830E2"/>
    <w:rsid w:val="0049755A"/>
    <w:rsid w:val="004A0634"/>
    <w:rsid w:val="004C5AB4"/>
    <w:rsid w:val="004C64CA"/>
    <w:rsid w:val="004C788A"/>
    <w:rsid w:val="004D17DB"/>
    <w:rsid w:val="004E012C"/>
    <w:rsid w:val="004E1ABC"/>
    <w:rsid w:val="004E61AD"/>
    <w:rsid w:val="004F033B"/>
    <w:rsid w:val="004F100E"/>
    <w:rsid w:val="004F4782"/>
    <w:rsid w:val="00502607"/>
    <w:rsid w:val="00515D7A"/>
    <w:rsid w:val="00515EB2"/>
    <w:rsid w:val="005164CE"/>
    <w:rsid w:val="00557EBA"/>
    <w:rsid w:val="005645ED"/>
    <w:rsid w:val="0059169F"/>
    <w:rsid w:val="005C03DE"/>
    <w:rsid w:val="005C0D63"/>
    <w:rsid w:val="005D23AF"/>
    <w:rsid w:val="005D7EF0"/>
    <w:rsid w:val="005E62DD"/>
    <w:rsid w:val="005F0DA5"/>
    <w:rsid w:val="005F1DEE"/>
    <w:rsid w:val="006029AD"/>
    <w:rsid w:val="006503B0"/>
    <w:rsid w:val="00651A6F"/>
    <w:rsid w:val="00661DF6"/>
    <w:rsid w:val="00662392"/>
    <w:rsid w:val="00662EEF"/>
    <w:rsid w:val="006662D4"/>
    <w:rsid w:val="0067239C"/>
    <w:rsid w:val="00677467"/>
    <w:rsid w:val="00677EC4"/>
    <w:rsid w:val="0068409D"/>
    <w:rsid w:val="00690C8D"/>
    <w:rsid w:val="00695B1D"/>
    <w:rsid w:val="006A7EDF"/>
    <w:rsid w:val="006B27E5"/>
    <w:rsid w:val="006B4C5A"/>
    <w:rsid w:val="006B6AFB"/>
    <w:rsid w:val="006D3CB2"/>
    <w:rsid w:val="006F13C9"/>
    <w:rsid w:val="006F59FB"/>
    <w:rsid w:val="007037E3"/>
    <w:rsid w:val="007166D9"/>
    <w:rsid w:val="00724FDF"/>
    <w:rsid w:val="007315F4"/>
    <w:rsid w:val="00732D95"/>
    <w:rsid w:val="0073354A"/>
    <w:rsid w:val="007379C4"/>
    <w:rsid w:val="00747465"/>
    <w:rsid w:val="00752A91"/>
    <w:rsid w:val="0076004D"/>
    <w:rsid w:val="0077345B"/>
    <w:rsid w:val="00784E99"/>
    <w:rsid w:val="007A26C9"/>
    <w:rsid w:val="007A5242"/>
    <w:rsid w:val="007A7EEA"/>
    <w:rsid w:val="007B4EFC"/>
    <w:rsid w:val="007C1FF1"/>
    <w:rsid w:val="007D06A7"/>
    <w:rsid w:val="007D715F"/>
    <w:rsid w:val="007E485F"/>
    <w:rsid w:val="0080430F"/>
    <w:rsid w:val="00810A70"/>
    <w:rsid w:val="00813D8C"/>
    <w:rsid w:val="00817F4A"/>
    <w:rsid w:val="0082594A"/>
    <w:rsid w:val="00831A9B"/>
    <w:rsid w:val="00835B1A"/>
    <w:rsid w:val="00842700"/>
    <w:rsid w:val="00845780"/>
    <w:rsid w:val="00846289"/>
    <w:rsid w:val="00856C80"/>
    <w:rsid w:val="008615EB"/>
    <w:rsid w:val="00864298"/>
    <w:rsid w:val="008701D9"/>
    <w:rsid w:val="00875D6B"/>
    <w:rsid w:val="00887442"/>
    <w:rsid w:val="008935DE"/>
    <w:rsid w:val="008A274B"/>
    <w:rsid w:val="008A67A6"/>
    <w:rsid w:val="008B16B9"/>
    <w:rsid w:val="008C14EC"/>
    <w:rsid w:val="008D08DB"/>
    <w:rsid w:val="008D17D4"/>
    <w:rsid w:val="008D4102"/>
    <w:rsid w:val="008E3E30"/>
    <w:rsid w:val="008E61AF"/>
    <w:rsid w:val="008E721F"/>
    <w:rsid w:val="008F0106"/>
    <w:rsid w:val="008F3663"/>
    <w:rsid w:val="008F4B86"/>
    <w:rsid w:val="0090342D"/>
    <w:rsid w:val="00903AD3"/>
    <w:rsid w:val="00913D39"/>
    <w:rsid w:val="0091709F"/>
    <w:rsid w:val="0091781B"/>
    <w:rsid w:val="00930AE8"/>
    <w:rsid w:val="0094378B"/>
    <w:rsid w:val="00945EC5"/>
    <w:rsid w:val="0095296B"/>
    <w:rsid w:val="00973A91"/>
    <w:rsid w:val="009741D1"/>
    <w:rsid w:val="009752F1"/>
    <w:rsid w:val="0098367A"/>
    <w:rsid w:val="0099309A"/>
    <w:rsid w:val="009A20C6"/>
    <w:rsid w:val="009B57B6"/>
    <w:rsid w:val="009B5E16"/>
    <w:rsid w:val="009C5C72"/>
    <w:rsid w:val="009D19D8"/>
    <w:rsid w:val="009D4C92"/>
    <w:rsid w:val="009D672F"/>
    <w:rsid w:val="009E1577"/>
    <w:rsid w:val="009E248F"/>
    <w:rsid w:val="009F3B6F"/>
    <w:rsid w:val="00A0322B"/>
    <w:rsid w:val="00A06677"/>
    <w:rsid w:val="00A24157"/>
    <w:rsid w:val="00A25C36"/>
    <w:rsid w:val="00A27329"/>
    <w:rsid w:val="00A3388C"/>
    <w:rsid w:val="00A33EBF"/>
    <w:rsid w:val="00A3415E"/>
    <w:rsid w:val="00A34EC8"/>
    <w:rsid w:val="00A356CA"/>
    <w:rsid w:val="00A4109A"/>
    <w:rsid w:val="00A46782"/>
    <w:rsid w:val="00A53EBD"/>
    <w:rsid w:val="00A657FB"/>
    <w:rsid w:val="00A87EA5"/>
    <w:rsid w:val="00A97A47"/>
    <w:rsid w:val="00AA73E2"/>
    <w:rsid w:val="00AB7997"/>
    <w:rsid w:val="00AC6B9C"/>
    <w:rsid w:val="00AC6E99"/>
    <w:rsid w:val="00AD3277"/>
    <w:rsid w:val="00AE30E1"/>
    <w:rsid w:val="00AE5D3E"/>
    <w:rsid w:val="00B00C82"/>
    <w:rsid w:val="00B106F6"/>
    <w:rsid w:val="00B1168D"/>
    <w:rsid w:val="00B12E8E"/>
    <w:rsid w:val="00B31D45"/>
    <w:rsid w:val="00B36834"/>
    <w:rsid w:val="00B626AD"/>
    <w:rsid w:val="00B66D39"/>
    <w:rsid w:val="00B7546A"/>
    <w:rsid w:val="00B877E1"/>
    <w:rsid w:val="00B91F12"/>
    <w:rsid w:val="00BA2395"/>
    <w:rsid w:val="00BB0490"/>
    <w:rsid w:val="00BB16F7"/>
    <w:rsid w:val="00BB5685"/>
    <w:rsid w:val="00BC0150"/>
    <w:rsid w:val="00BC44AD"/>
    <w:rsid w:val="00BC4917"/>
    <w:rsid w:val="00BD095E"/>
    <w:rsid w:val="00BD5327"/>
    <w:rsid w:val="00BD710B"/>
    <w:rsid w:val="00BF36FF"/>
    <w:rsid w:val="00BF7F68"/>
    <w:rsid w:val="00C07E3F"/>
    <w:rsid w:val="00C2020A"/>
    <w:rsid w:val="00C4715F"/>
    <w:rsid w:val="00C47B09"/>
    <w:rsid w:val="00C626A4"/>
    <w:rsid w:val="00C94B81"/>
    <w:rsid w:val="00CA5EF9"/>
    <w:rsid w:val="00CB2D4B"/>
    <w:rsid w:val="00CC6585"/>
    <w:rsid w:val="00CE28DE"/>
    <w:rsid w:val="00CE4512"/>
    <w:rsid w:val="00CF455C"/>
    <w:rsid w:val="00D4624C"/>
    <w:rsid w:val="00D50014"/>
    <w:rsid w:val="00D525EA"/>
    <w:rsid w:val="00D55DD9"/>
    <w:rsid w:val="00D72B54"/>
    <w:rsid w:val="00D80ABA"/>
    <w:rsid w:val="00D8584F"/>
    <w:rsid w:val="00DA3551"/>
    <w:rsid w:val="00DA3B1B"/>
    <w:rsid w:val="00DB2F51"/>
    <w:rsid w:val="00DB39CA"/>
    <w:rsid w:val="00DC052C"/>
    <w:rsid w:val="00DD7938"/>
    <w:rsid w:val="00DE058D"/>
    <w:rsid w:val="00DE553E"/>
    <w:rsid w:val="00E23073"/>
    <w:rsid w:val="00E40CF3"/>
    <w:rsid w:val="00E45621"/>
    <w:rsid w:val="00E807B2"/>
    <w:rsid w:val="00E8083D"/>
    <w:rsid w:val="00E91FAD"/>
    <w:rsid w:val="00EA11F3"/>
    <w:rsid w:val="00EC194D"/>
    <w:rsid w:val="00EC5A37"/>
    <w:rsid w:val="00ED027F"/>
    <w:rsid w:val="00EF0599"/>
    <w:rsid w:val="00EF0A28"/>
    <w:rsid w:val="00F0160E"/>
    <w:rsid w:val="00F0557D"/>
    <w:rsid w:val="00F13838"/>
    <w:rsid w:val="00F64A8C"/>
    <w:rsid w:val="00F66E3B"/>
    <w:rsid w:val="00F67E1C"/>
    <w:rsid w:val="00F70B81"/>
    <w:rsid w:val="00F733E0"/>
    <w:rsid w:val="00F80A60"/>
    <w:rsid w:val="00F84746"/>
    <w:rsid w:val="00F85547"/>
    <w:rsid w:val="00F86B7E"/>
    <w:rsid w:val="00F9473F"/>
    <w:rsid w:val="00FB4AC4"/>
    <w:rsid w:val="00FC0063"/>
    <w:rsid w:val="00FC097A"/>
    <w:rsid w:val="00FC3901"/>
    <w:rsid w:val="00FD2AD3"/>
    <w:rsid w:val="00FD329B"/>
    <w:rsid w:val="00FE19A5"/>
    <w:rsid w:val="00FE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37D33"/>
  <w15:chartTrackingRefBased/>
  <w15:docId w15:val="{13780F8D-4F2D-3943-B396-2E3EC490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746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38"/>
    <w:pPr>
      <w:ind w:left="720"/>
      <w:contextualSpacing/>
    </w:pPr>
    <w:rPr>
      <w:rFonts w:ascii="Avenir" w:hAnsi="Avenir" w:cs="Times New Roman (Body CS)"/>
      <w:lang w:val="en-GB"/>
    </w:rPr>
  </w:style>
  <w:style w:type="table" w:styleId="TableGrid">
    <w:name w:val="Table Grid"/>
    <w:basedOn w:val="TableNormal"/>
    <w:uiPriority w:val="39"/>
    <w:rsid w:val="003E0D5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553E"/>
    <w:rPr>
      <w:color w:val="0000FF"/>
      <w:u w:val="single"/>
    </w:rPr>
  </w:style>
  <w:style w:type="paragraph" w:styleId="Revision">
    <w:name w:val="Revision"/>
    <w:hidden/>
    <w:uiPriority w:val="99"/>
    <w:semiHidden/>
    <w:rsid w:val="00A3415E"/>
  </w:style>
  <w:style w:type="character" w:styleId="CommentReference">
    <w:name w:val="annotation reference"/>
    <w:basedOn w:val="DefaultParagraphFont"/>
    <w:uiPriority w:val="99"/>
    <w:semiHidden/>
    <w:unhideWhenUsed/>
    <w:rsid w:val="007166D9"/>
    <w:rPr>
      <w:sz w:val="16"/>
      <w:szCs w:val="16"/>
    </w:rPr>
  </w:style>
  <w:style w:type="paragraph" w:styleId="CommentText">
    <w:name w:val="annotation text"/>
    <w:basedOn w:val="Normal"/>
    <w:link w:val="CommentTextChar"/>
    <w:uiPriority w:val="99"/>
    <w:unhideWhenUsed/>
    <w:rsid w:val="007166D9"/>
    <w:rPr>
      <w:sz w:val="20"/>
      <w:szCs w:val="20"/>
    </w:rPr>
  </w:style>
  <w:style w:type="character" w:customStyle="1" w:styleId="CommentTextChar">
    <w:name w:val="Comment Text Char"/>
    <w:basedOn w:val="DefaultParagraphFont"/>
    <w:link w:val="CommentText"/>
    <w:uiPriority w:val="99"/>
    <w:rsid w:val="007166D9"/>
    <w:rPr>
      <w:sz w:val="20"/>
      <w:szCs w:val="20"/>
    </w:rPr>
  </w:style>
  <w:style w:type="paragraph" w:styleId="CommentSubject">
    <w:name w:val="annotation subject"/>
    <w:basedOn w:val="CommentText"/>
    <w:next w:val="CommentText"/>
    <w:link w:val="CommentSubjectChar"/>
    <w:uiPriority w:val="99"/>
    <w:semiHidden/>
    <w:unhideWhenUsed/>
    <w:rsid w:val="007166D9"/>
    <w:rPr>
      <w:b/>
      <w:bCs/>
    </w:rPr>
  </w:style>
  <w:style w:type="character" w:customStyle="1" w:styleId="CommentSubjectChar">
    <w:name w:val="Comment Subject Char"/>
    <w:basedOn w:val="CommentTextChar"/>
    <w:link w:val="CommentSubject"/>
    <w:uiPriority w:val="99"/>
    <w:semiHidden/>
    <w:rsid w:val="007166D9"/>
    <w:rPr>
      <w:b/>
      <w:bCs/>
      <w:sz w:val="20"/>
      <w:szCs w:val="20"/>
    </w:rPr>
  </w:style>
  <w:style w:type="paragraph" w:styleId="Footer">
    <w:name w:val="footer"/>
    <w:basedOn w:val="Normal"/>
    <w:link w:val="FooterChar"/>
    <w:uiPriority w:val="99"/>
    <w:unhideWhenUsed/>
    <w:rsid w:val="0090342D"/>
    <w:pPr>
      <w:tabs>
        <w:tab w:val="center" w:pos="4680"/>
        <w:tab w:val="right" w:pos="9360"/>
      </w:tabs>
    </w:pPr>
  </w:style>
  <w:style w:type="character" w:customStyle="1" w:styleId="FooterChar">
    <w:name w:val="Footer Char"/>
    <w:basedOn w:val="DefaultParagraphFont"/>
    <w:link w:val="Footer"/>
    <w:uiPriority w:val="99"/>
    <w:rsid w:val="0090342D"/>
  </w:style>
  <w:style w:type="character" w:styleId="PageNumber">
    <w:name w:val="page number"/>
    <w:basedOn w:val="DefaultParagraphFont"/>
    <w:uiPriority w:val="99"/>
    <w:semiHidden/>
    <w:unhideWhenUsed/>
    <w:rsid w:val="0090342D"/>
  </w:style>
  <w:style w:type="table" w:customStyle="1" w:styleId="TableGrid0">
    <w:name w:val="TableGrid"/>
    <w:rsid w:val="008E61AF"/>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A97A47"/>
    <w:rPr>
      <w:color w:val="605E5C"/>
      <w:shd w:val="clear" w:color="auto" w:fill="E1DFDD"/>
    </w:rPr>
  </w:style>
  <w:style w:type="character" w:customStyle="1" w:styleId="Heading1Char">
    <w:name w:val="Heading 1 Char"/>
    <w:basedOn w:val="DefaultParagraphFont"/>
    <w:link w:val="Heading1"/>
    <w:uiPriority w:val="9"/>
    <w:rsid w:val="0074746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728519">
      <w:bodyDiv w:val="1"/>
      <w:marLeft w:val="0"/>
      <w:marRight w:val="0"/>
      <w:marTop w:val="0"/>
      <w:marBottom w:val="0"/>
      <w:divBdr>
        <w:top w:val="none" w:sz="0" w:space="0" w:color="auto"/>
        <w:left w:val="none" w:sz="0" w:space="0" w:color="auto"/>
        <w:bottom w:val="none" w:sz="0" w:space="0" w:color="auto"/>
        <w:right w:val="none" w:sz="0" w:space="0" w:color="auto"/>
      </w:divBdr>
      <w:divsChild>
        <w:div w:id="77363900">
          <w:marLeft w:val="0"/>
          <w:marRight w:val="0"/>
          <w:marTop w:val="0"/>
          <w:marBottom w:val="0"/>
          <w:divBdr>
            <w:top w:val="none" w:sz="0" w:space="0" w:color="auto"/>
            <w:left w:val="none" w:sz="0" w:space="0" w:color="auto"/>
            <w:bottom w:val="none" w:sz="0" w:space="0" w:color="auto"/>
            <w:right w:val="none" w:sz="0" w:space="0" w:color="auto"/>
          </w:divBdr>
          <w:divsChild>
            <w:div w:id="84426096">
              <w:marLeft w:val="0"/>
              <w:marRight w:val="0"/>
              <w:marTop w:val="0"/>
              <w:marBottom w:val="0"/>
              <w:divBdr>
                <w:top w:val="none" w:sz="0" w:space="0" w:color="auto"/>
                <w:left w:val="none" w:sz="0" w:space="0" w:color="auto"/>
                <w:bottom w:val="none" w:sz="0" w:space="0" w:color="auto"/>
                <w:right w:val="none" w:sz="0" w:space="0" w:color="auto"/>
              </w:divBdr>
            </w:div>
          </w:divsChild>
        </w:div>
        <w:div w:id="98531254">
          <w:marLeft w:val="0"/>
          <w:marRight w:val="0"/>
          <w:marTop w:val="0"/>
          <w:marBottom w:val="0"/>
          <w:divBdr>
            <w:top w:val="none" w:sz="0" w:space="0" w:color="auto"/>
            <w:left w:val="none" w:sz="0" w:space="0" w:color="auto"/>
            <w:bottom w:val="none" w:sz="0" w:space="0" w:color="auto"/>
            <w:right w:val="none" w:sz="0" w:space="0" w:color="auto"/>
          </w:divBdr>
          <w:divsChild>
            <w:div w:id="9327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0401">
      <w:bodyDiv w:val="1"/>
      <w:marLeft w:val="0"/>
      <w:marRight w:val="0"/>
      <w:marTop w:val="0"/>
      <w:marBottom w:val="0"/>
      <w:divBdr>
        <w:top w:val="none" w:sz="0" w:space="0" w:color="auto"/>
        <w:left w:val="none" w:sz="0" w:space="0" w:color="auto"/>
        <w:bottom w:val="none" w:sz="0" w:space="0" w:color="auto"/>
        <w:right w:val="none" w:sz="0" w:space="0" w:color="auto"/>
      </w:divBdr>
    </w:div>
    <w:div w:id="1757290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1236">
          <w:marLeft w:val="0"/>
          <w:marRight w:val="0"/>
          <w:marTop w:val="0"/>
          <w:marBottom w:val="0"/>
          <w:divBdr>
            <w:top w:val="none" w:sz="0" w:space="0" w:color="auto"/>
            <w:left w:val="none" w:sz="0" w:space="0" w:color="auto"/>
            <w:bottom w:val="none" w:sz="0" w:space="0" w:color="auto"/>
            <w:right w:val="none" w:sz="0" w:space="0" w:color="auto"/>
          </w:divBdr>
          <w:divsChild>
            <w:div w:id="152451909">
              <w:marLeft w:val="0"/>
              <w:marRight w:val="0"/>
              <w:marTop w:val="0"/>
              <w:marBottom w:val="0"/>
              <w:divBdr>
                <w:top w:val="none" w:sz="0" w:space="0" w:color="auto"/>
                <w:left w:val="none" w:sz="0" w:space="0" w:color="auto"/>
                <w:bottom w:val="none" w:sz="0" w:space="0" w:color="auto"/>
                <w:right w:val="none" w:sz="0" w:space="0" w:color="auto"/>
              </w:divBdr>
            </w:div>
          </w:divsChild>
        </w:div>
        <w:div w:id="898327875">
          <w:marLeft w:val="0"/>
          <w:marRight w:val="0"/>
          <w:marTop w:val="0"/>
          <w:marBottom w:val="0"/>
          <w:divBdr>
            <w:top w:val="none" w:sz="0" w:space="0" w:color="auto"/>
            <w:left w:val="none" w:sz="0" w:space="0" w:color="auto"/>
            <w:bottom w:val="none" w:sz="0" w:space="0" w:color="auto"/>
            <w:right w:val="none" w:sz="0" w:space="0" w:color="auto"/>
          </w:divBdr>
          <w:divsChild>
            <w:div w:id="12793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sf.ngo/long-read/ngo-security-collaboration-guide/"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isf-ddamericas@gisf.ng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sfamericasra@gisf.ng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4BAF94-D664-C64E-959D-BAAD570B8FC2}">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214CC-5C0C-415B-A445-D591400C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 Navrozidis</dc:creator>
  <cp:keywords/>
  <dc:description/>
  <cp:lastModifiedBy>Isabel Moore</cp:lastModifiedBy>
  <cp:revision>2</cp:revision>
  <cp:lastPrinted>2023-01-15T15:04:00Z</cp:lastPrinted>
  <dcterms:created xsi:type="dcterms:W3CDTF">2023-02-10T15:37:00Z</dcterms:created>
  <dcterms:modified xsi:type="dcterms:W3CDTF">2023-02-10T15:37:00Z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documentId_1995</vt:lpwstr>
  </property>
  <property fmtid="{D5CDD505-2E9C-101B-9397-08002B2CF9AE}" pid="3" name="grammarly_documentContext">
    <vt:lpwstr>{"goals":[],"domain":"general","emotions":[],"dialect":"american"}</vt:lpwstr>
  </property>
</Properties>
</file>